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sz w:val="32"/>
          <w:szCs w:val="32"/>
        </w:rPr>
      </w:pPr>
      <w:r>
        <w:rPr>
          <w:rFonts w:hint="eastAsia" w:ascii="黑体" w:hAnsi="黑体" w:eastAsia="黑体" w:cs="黑体"/>
          <w:sz w:val="32"/>
          <w:szCs w:val="32"/>
        </w:rPr>
        <w:t>附件4</w:t>
      </w:r>
    </w:p>
    <w:p>
      <w:pPr>
        <w:jc w:val="center"/>
        <w:rPr>
          <w:rFonts w:ascii="Times New Roman" w:hAnsi="Times New Roman" w:eastAsia="方正小标宋_GBK"/>
          <w:sz w:val="52"/>
          <w:szCs w:val="52"/>
        </w:rPr>
      </w:pPr>
    </w:p>
    <w:p>
      <w:pPr>
        <w:jc w:val="center"/>
        <w:rPr>
          <w:rFonts w:ascii="方正小标宋简体" w:hAnsi="方正小标宋简体" w:eastAsia="方正小标宋简体" w:cs="方正小标宋简体"/>
          <w:sz w:val="44"/>
          <w:szCs w:val="44"/>
        </w:rPr>
      </w:pPr>
      <w:r>
        <w:rPr>
          <w:rFonts w:ascii="方正小标宋简体" w:hAnsi="方正小标宋简体" w:eastAsia="方正小标宋简体" w:cs="方正小标宋简体"/>
          <w:sz w:val="44"/>
          <w:szCs w:val="44"/>
        </w:rPr>
        <w:object>
          <v:shape id="_x0000_i1025" o:spt="75" type="#_x0000_t75" style="height:631.5pt;width:446.25pt;" o:ole="t" filled="f" o:preferrelative="t" stroked="f" coordsize="21600,21600">
            <v:path/>
            <v:fill on="f" focussize="0,0"/>
            <v:stroke on="f" joinstyle="miter"/>
            <v:imagedata r:id="rId5" o:title=""/>
            <o:lock v:ext="edit" aspectratio="t"/>
            <w10:wrap type="none"/>
            <w10:anchorlock/>
          </v:shape>
          <o:OLEObject Type="Embed" ProgID="AcroExch.Document.11" ShapeID="_x0000_i1025" DrawAspect="Content" ObjectID="_1468075725" r:id="rId4">
            <o:LockedField>false</o:LockedField>
          </o:OLEObject>
        </w:object>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2024年度中共岳阳市君山区委组织部</w:t>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整体支出绩效自评报告</w:t>
      </w:r>
    </w:p>
    <w:p>
      <w:pPr>
        <w:spacing w:line="640" w:lineRule="exact"/>
        <w:ind w:firstLine="640" w:firstLineChars="200"/>
        <w:rPr>
          <w:rFonts w:ascii="Times New Roman" w:hAnsi="Times New Roman" w:eastAsia="仿宋_GB2312"/>
          <w:sz w:val="32"/>
          <w:szCs w:val="32"/>
        </w:rPr>
      </w:pPr>
    </w:p>
    <w:p>
      <w:pPr>
        <w:numPr>
          <w:ilvl w:val="0"/>
          <w:numId w:val="1"/>
        </w:numPr>
        <w:spacing w:line="640" w:lineRule="exact"/>
        <w:ind w:firstLine="640" w:firstLineChars="200"/>
        <w:rPr>
          <w:rFonts w:ascii="Times New Roman" w:hAnsi="Times New Roman" w:eastAsia="黑体"/>
          <w:sz w:val="32"/>
          <w:szCs w:val="32"/>
        </w:rPr>
      </w:pPr>
      <w:r>
        <w:rPr>
          <w:rFonts w:ascii="Times New Roman" w:hAnsi="Times New Roman" w:eastAsia="黑体"/>
          <w:sz w:val="32"/>
          <w:szCs w:val="32"/>
        </w:rPr>
        <w:t>部门</w:t>
      </w:r>
      <w:r>
        <w:rPr>
          <w:rFonts w:hint="eastAsia" w:ascii="Times New Roman" w:hAnsi="Times New Roman" w:eastAsia="黑体"/>
          <w:sz w:val="32"/>
          <w:szCs w:val="32"/>
        </w:rPr>
        <w:t>（单位）</w:t>
      </w:r>
      <w:r>
        <w:rPr>
          <w:rFonts w:ascii="Times New Roman" w:hAnsi="Times New Roman" w:eastAsia="黑体"/>
          <w:sz w:val="32"/>
          <w:szCs w:val="32"/>
        </w:rPr>
        <w:t>基本情况</w:t>
      </w:r>
    </w:p>
    <w:p>
      <w:pPr>
        <w:spacing w:line="640" w:lineRule="exact"/>
        <w:rPr>
          <w:rFonts w:ascii="Times New Roman" w:hAnsi="Times New Roman" w:eastAsia="楷体_GB2312"/>
          <w:b/>
          <w:sz w:val="32"/>
          <w:szCs w:val="32"/>
        </w:rPr>
      </w:pPr>
      <w:r>
        <w:rPr>
          <w:rFonts w:hint="eastAsia" w:ascii="Times New Roman" w:hAnsi="Times New Roman" w:eastAsia="黑体"/>
          <w:sz w:val="32"/>
          <w:szCs w:val="32"/>
        </w:rPr>
        <w:t>　</w:t>
      </w:r>
      <w:r>
        <w:rPr>
          <w:rFonts w:hint="eastAsia" w:ascii="Times New Roman" w:hAnsi="Times New Roman" w:eastAsia="楷体_GB2312"/>
          <w:b/>
          <w:sz w:val="32"/>
          <w:szCs w:val="32"/>
        </w:rPr>
        <w:t>（一）单位基本情况</w:t>
      </w:r>
    </w:p>
    <w:p>
      <w:pPr>
        <w:widowControl/>
        <w:spacing w:line="640" w:lineRule="exact"/>
        <w:ind w:firstLine="640" w:firstLineChars="200"/>
        <w:rPr>
          <w:rFonts w:ascii="Times New Roman" w:hAnsi="Times New Roman" w:eastAsia="仿宋_GB2312"/>
          <w:color w:val="000000"/>
          <w:sz w:val="32"/>
          <w:szCs w:val="32"/>
        </w:rPr>
      </w:pPr>
      <w:r>
        <w:rPr>
          <w:rFonts w:hint="eastAsia" w:ascii="仿宋_GB2312" w:hAnsi="仿宋_GB2312" w:eastAsia="仿宋_GB2312" w:cs="仿宋_GB2312"/>
          <w:kern w:val="2"/>
          <w:sz w:val="32"/>
          <w:szCs w:val="32"/>
        </w:rPr>
        <w:t>中共岳阳市君山区委组织部（以下简称组织部）是区委工作机关，主管组织工作、干部工作、人才工作</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其主要职能为</w:t>
      </w:r>
      <w:r>
        <w:rPr>
          <w:rFonts w:ascii="Times New Roman" w:hAnsi="Times New Roman" w:eastAsia="仿宋_GB2312"/>
          <w:color w:val="000000"/>
          <w:sz w:val="32"/>
          <w:szCs w:val="32"/>
        </w:rPr>
        <w:t>：</w:t>
      </w:r>
    </w:p>
    <w:p>
      <w:pPr>
        <w:pStyle w:val="12"/>
        <w:widowControl/>
        <w:spacing w:line="640" w:lineRule="exact"/>
        <w:ind w:firstLine="64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1、研究和指导全区党组织特别是党的基层组织建设，加强机关事业单位党组织、非公有制经济组织和社会组织党组织、镇（街道）社区和农村党组织建设；主管党员的管理和发展工作，协调、规划和指导党员教育工作；针对新情况、新问题，开展党的建设理论研究。</w:t>
      </w:r>
    </w:p>
    <w:p>
      <w:pPr>
        <w:pStyle w:val="12"/>
        <w:widowControl/>
        <w:spacing w:line="640" w:lineRule="exact"/>
        <w:ind w:firstLine="64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2、贯彻落实党和国家干部人事工作的方针和政策，开展干部人事工作的政策研究和调查研究，实施干部人事法规制度落实情况的监督检查；指导全区干部人事工作，推进干部人事制度改革；研究制订全区干部队伍建设的中长期发展规划和政策措施，负责全区干部队伍建设的宏观管理和业务指导；加强后备干部队伍建设，培养、选拔优秀年轻干部、女干部、党外干部、少数民族干部；研究制订全区区管领导班子和领导干部队伍建设的目标规划和政策措施；指导全区区管领导班子的政治建设、思想建设和作风建设；负责全区科级干部选拔任用工作，选优配强区管领导班子；负责全区区管领导班子和领导干部的年度考核工作；指导全区干部人事档案管理工作，负责全区公务员、参照公务员法管理人员（以下简称“参公人员”）、事业单位副科级以上领导干部及离退休人员的人事档案管理工作。</w:t>
      </w:r>
    </w:p>
    <w:p>
      <w:pPr>
        <w:pStyle w:val="12"/>
        <w:widowControl/>
        <w:spacing w:line="640" w:lineRule="exact"/>
        <w:ind w:firstLine="64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3、负责全区干部教育培训工作。制定干部教育培训的政策、规划；负责落实上级组织部门下达我区的干部调训任务，组织全区干部教育培训计划、规划的实施；研究探索干部教育培训工作的新形式、新方法。</w:t>
      </w:r>
    </w:p>
    <w:p>
      <w:pPr>
        <w:pStyle w:val="12"/>
        <w:widowControl/>
        <w:spacing w:line="640" w:lineRule="exact"/>
        <w:ind w:firstLine="64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4、负责全区公务员（参公人员）的管理工作，组织开展公务员（参公人员）行为规范建设、职业道德建设和能力素质建设，做好公务员队伍建设的分析研判，落实公务员（参公人员）职务与职级并行政策；负责事业单位的参照公务员法管理申报工作。</w:t>
      </w:r>
    </w:p>
    <w:p>
      <w:pPr>
        <w:pStyle w:val="12"/>
        <w:widowControl/>
        <w:spacing w:line="640" w:lineRule="exact"/>
        <w:ind w:firstLine="64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5、负责全区党的建设制度与干部人事制度改革，制订和参与制订全区组织、干部、人才工作的重要政策和制度。</w:t>
      </w:r>
    </w:p>
    <w:p>
      <w:pPr>
        <w:pStyle w:val="12"/>
        <w:widowControl/>
        <w:spacing w:line="640" w:lineRule="exact"/>
        <w:ind w:firstLine="64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6、负责全区组织、干部、人才工作的检查监督，完成上级组织部门下达的调研课题研究，及时向区委和上级组织部门反映重要情况，提出建议。</w:t>
      </w:r>
    </w:p>
    <w:p>
      <w:pPr>
        <w:pStyle w:val="12"/>
        <w:widowControl/>
        <w:spacing w:line="640" w:lineRule="exact"/>
        <w:ind w:firstLine="64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7、负责对全区区管领导班子和领导干部贯彻执行党的干部路线、方针、政策，特别是干部选拔任用工作进行监督；承办全区副科级及以上干部因私出国（境）的审查审批工作。</w:t>
      </w:r>
    </w:p>
    <w:p>
      <w:pPr>
        <w:pStyle w:val="12"/>
        <w:widowControl/>
        <w:spacing w:line="640" w:lineRule="exact"/>
        <w:ind w:firstLine="64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8、贯彻落实中央、省委、市委、区委关于人才工作的政策措施，加强全区人才的政治引领和政治吸纳；研究制订全区人才政策，完善人才引进、培养、使用机制，优化人才流动配置、服务保障机制；履行组织部门对人才工作的牵头抓总职责，加强全区人才工作的宏观指导、综合协调、监督检查和绩效考核；负责全区各类人才的培养选拔。</w:t>
      </w:r>
    </w:p>
    <w:p>
      <w:pPr>
        <w:pStyle w:val="12"/>
        <w:widowControl/>
        <w:spacing w:line="640" w:lineRule="exact"/>
        <w:ind w:firstLine="64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9、贯彻落实老干部工作的政策规定，结合实际，制定全区老干部工作的相关措施；负责全区老干部的安置、管理和服务工作，指导督促全区老干部的政治、生活待遇的落实，协助做好老干部逝世后的善后事宜及遗属照顾工作；组织指导全区老干部在社会主义两个文明建设中发挥作用；负责指导全区老干部的政治理论学习，指导全区老干部的思想政治工作，指导各级党组织加强老干部党支部建设；负责办好区老干部活动场所；组织指导全区老干部开展内容丰富、形式多样的文化、体育活动，丰富老干部的精神文化生活；密切同老干部的联系，定期或不定期走访看望老干部，开展慰问活动，召开座谈会和情况通报会，负责老干部参加有关重要会议和重大活动的组织工作；负责宣传老干部工作的方针、政策，宣传老干部和老干部工作中的先进典型，评比表彰全区老干部和老干部工作中的先进集体和个人；负责调查研究全区老干部工作情况，为区委、区政府提供决策依据和建议，及时解决老干部工作中的突出问题，总结推广经验，加强宏观管理和督促检查；负责做好老干部来信来访工作，协助区委、区政府有关部门处理老干部信访问题，维护社会稳定；负责区关心下一代工作委员会的日常工作。</w:t>
      </w:r>
    </w:p>
    <w:p>
      <w:pPr>
        <w:pStyle w:val="12"/>
        <w:widowControl/>
        <w:spacing w:line="640" w:lineRule="exact"/>
        <w:ind w:firstLine="64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10、统一管理区委机构编制委员会办公室。</w:t>
      </w:r>
    </w:p>
    <w:p>
      <w:pPr>
        <w:pStyle w:val="12"/>
        <w:widowControl/>
        <w:spacing w:line="640" w:lineRule="exact"/>
        <w:ind w:firstLine="64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11、完成区委及市委组织部交办的其他任务。</w:t>
      </w:r>
    </w:p>
    <w:p>
      <w:pPr>
        <w:pStyle w:val="12"/>
        <w:widowControl/>
        <w:spacing w:line="640" w:lineRule="exact"/>
        <w:ind w:firstLine="640"/>
        <w:rPr>
          <w:rFonts w:ascii="Times New Roman" w:hAnsi="Times New Roman" w:eastAsia="楷体_GB2312"/>
          <w:b/>
          <w:sz w:val="32"/>
          <w:szCs w:val="32"/>
        </w:rPr>
      </w:pPr>
      <w:r>
        <w:rPr>
          <w:rFonts w:hint="eastAsia" w:ascii="Times New Roman" w:hAnsi="Times New Roman" w:eastAsia="楷体_GB2312"/>
          <w:b/>
          <w:sz w:val="32"/>
          <w:szCs w:val="32"/>
        </w:rPr>
        <w:t>（二）机构设置与人员情况</w:t>
      </w:r>
    </w:p>
    <w:p>
      <w:pPr>
        <w:pStyle w:val="12"/>
        <w:widowControl/>
        <w:spacing w:line="640" w:lineRule="exact"/>
        <w:ind w:firstLine="640" w:firstLineChars="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 xml:space="preserve">组织部内设机构共8个，分别是：办公室、党建办公室（加挂党代表联络工作办公室牌子）、干部办公室（人才办牌子、干部档案信息室）、公务员管理室、干部监督室、区直机关工委办、老干办、考核办，另有副科级行政支持类事业单位：党员教育中心，副科级事业单位：老干部活动中心。  </w:t>
      </w:r>
    </w:p>
    <w:p>
      <w:pPr>
        <w:pStyle w:val="12"/>
        <w:widowControl/>
        <w:numPr>
          <w:ilvl w:val="0"/>
          <w:numId w:val="2"/>
        </w:numPr>
        <w:spacing w:line="640" w:lineRule="exact"/>
        <w:ind w:firstLine="640"/>
        <w:rPr>
          <w:rFonts w:ascii="Times New Roman" w:hAnsi="Times New Roman" w:eastAsia="楷体_GB2312"/>
          <w:b/>
          <w:sz w:val="32"/>
          <w:szCs w:val="32"/>
        </w:rPr>
      </w:pPr>
      <w:r>
        <w:rPr>
          <w:rFonts w:hint="eastAsia" w:ascii="Times New Roman" w:hAnsi="Times New Roman" w:eastAsia="楷体_GB2312"/>
          <w:b/>
          <w:sz w:val="32"/>
          <w:szCs w:val="32"/>
        </w:rPr>
        <w:t>单位绩效目标</w:t>
      </w:r>
    </w:p>
    <w:p>
      <w:pPr>
        <w:pStyle w:val="13"/>
        <w:spacing w:line="58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1、整体支出绩效目标：积极推行预算绩效管理，强化对资金使用情况的预算约束和监督，提高了财政资金使用绩效，促进管理效能提升。</w:t>
      </w:r>
    </w:p>
    <w:p>
      <w:pPr>
        <w:pStyle w:val="13"/>
        <w:spacing w:line="58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全年瞄准部门职责，</w:t>
      </w:r>
      <w:r>
        <w:rPr>
          <w:rFonts w:hint="eastAsia" w:ascii="仿宋_GB2312" w:eastAsia="仿宋_GB2312"/>
          <w:sz w:val="32"/>
          <w:szCs w:val="32"/>
        </w:rPr>
        <w:t>在区委的坚强领导和市委组织部的精心指导下，</w:t>
      </w:r>
      <w:r>
        <w:rPr>
          <w:rFonts w:hint="eastAsia" w:ascii="仿宋_GB2312" w:hAnsi="仿宋_GB2312" w:eastAsia="仿宋_GB2312" w:cs="仿宋_GB2312"/>
          <w:kern w:val="2"/>
          <w:sz w:val="32"/>
          <w:szCs w:val="32"/>
        </w:rPr>
        <w:t>突出思想铸魂、政治统领，以良好政治生态护航君山发展生态，突出选贤任能、严管厚爱，以正确用人导向引领君山发展导向，突出强基固本、协同引领，以基层党建质效保障君山发展质效，突出引才育才、爱才用才，以人才竞争优势厚植君山发展优势，</w:t>
      </w:r>
      <w:r>
        <w:rPr>
          <w:rFonts w:hint="eastAsia" w:ascii="仿宋_GB2312" w:eastAsia="仿宋_GB2312"/>
          <w:sz w:val="32"/>
          <w:szCs w:val="32"/>
        </w:rPr>
        <w:t>较好地完成了各项工作任务。</w:t>
      </w:r>
    </w:p>
    <w:p>
      <w:pPr>
        <w:pStyle w:val="13"/>
        <w:spacing w:line="58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2、项目支出绩效目标：做好基层党建培训工作，做好公务员招录、外出考察，做好区党代表活动及联络工作，做好干部信息和干部统计、干部人事档案及大组工网建设等工作，做好全区绩效考核评估工作，做好农村现代远程教育站点维护工作，做好组织工作、自身建设等工作，做好全区人才管理工作，做好“农民大学生”培养工作，做好驻村工作业务，扎实做好离退休干部工作，做好机关党建工作，扎实做好村社区基层党建工作，做好非公有制经济组织业务</w:t>
      </w:r>
    </w:p>
    <w:p>
      <w:pPr>
        <w:ind w:firstLine="640" w:firstLineChars="200"/>
      </w:pPr>
      <w:r>
        <w:rPr>
          <w:rFonts w:ascii="Times New Roman" w:hAnsi="Times New Roman" w:eastAsia="黑体"/>
          <w:sz w:val="32"/>
          <w:szCs w:val="32"/>
        </w:rPr>
        <w:t>二、一般公共预算支出情况</w:t>
      </w:r>
    </w:p>
    <w:p>
      <w:pPr>
        <w:ind w:firstLine="640" w:firstLineChars="200"/>
        <w:rPr>
          <w:rFonts w:ascii="Times New Roman" w:hAnsi="Times New Roman" w:eastAsia="楷体_GB2312"/>
          <w:b/>
          <w:sz w:val="32"/>
          <w:szCs w:val="32"/>
        </w:rPr>
      </w:pPr>
      <w:r>
        <w:rPr>
          <w:rFonts w:hint="eastAsia" w:ascii="仿宋_GB2312" w:hAnsi="仿宋_GB2312" w:eastAsia="仿宋_GB2312" w:cs="仿宋_GB2312"/>
          <w:kern w:val="2"/>
          <w:sz w:val="32"/>
          <w:szCs w:val="32"/>
        </w:rPr>
        <w:t>2024年</w:t>
      </w:r>
      <w:r>
        <w:rPr>
          <w:rFonts w:ascii="仿宋_GB2312" w:hAnsi="仿宋_GB2312" w:eastAsia="仿宋_GB2312" w:cs="仿宋_GB2312"/>
          <w:kern w:val="2"/>
          <w:sz w:val="32"/>
          <w:szCs w:val="32"/>
        </w:rPr>
        <w:t>全年</w:t>
      </w:r>
      <w:r>
        <w:rPr>
          <w:rFonts w:hint="eastAsia" w:ascii="仿宋_GB2312" w:hAnsi="仿宋_GB2312" w:eastAsia="仿宋_GB2312" w:cs="仿宋_GB2312"/>
          <w:kern w:val="2"/>
          <w:sz w:val="32"/>
          <w:szCs w:val="32"/>
        </w:rPr>
        <w:t>预算资金2120.49</w:t>
      </w:r>
      <w:r>
        <w:rPr>
          <w:rFonts w:ascii="仿宋_GB2312" w:hAnsi="仿宋_GB2312" w:eastAsia="仿宋_GB2312" w:cs="仿宋_GB2312"/>
          <w:kern w:val="2"/>
          <w:sz w:val="32"/>
          <w:szCs w:val="32"/>
        </w:rPr>
        <w:t>万元，</w:t>
      </w:r>
      <w:r>
        <w:rPr>
          <w:rFonts w:hint="eastAsia" w:ascii="仿宋_GB2312" w:hAnsi="仿宋_GB2312" w:eastAsia="仿宋_GB2312" w:cs="仿宋_GB2312"/>
          <w:kern w:val="2"/>
          <w:sz w:val="32"/>
          <w:szCs w:val="32"/>
        </w:rPr>
        <w:t>其中：</w:t>
      </w:r>
      <w:r>
        <w:rPr>
          <w:rFonts w:ascii="仿宋_GB2312" w:hAnsi="仿宋_GB2312" w:eastAsia="仿宋_GB2312" w:cs="仿宋_GB2312"/>
          <w:kern w:val="2"/>
          <w:sz w:val="32"/>
          <w:szCs w:val="32"/>
        </w:rPr>
        <w:t>基本支出</w:t>
      </w:r>
      <w:r>
        <w:rPr>
          <w:rFonts w:hint="eastAsia" w:ascii="仿宋_GB2312" w:hAnsi="仿宋_GB2312" w:eastAsia="仿宋_GB2312" w:cs="仿宋_GB2312"/>
          <w:kern w:val="2"/>
          <w:sz w:val="32"/>
          <w:szCs w:val="32"/>
        </w:rPr>
        <w:t>582.52</w:t>
      </w:r>
      <w:r>
        <w:rPr>
          <w:rFonts w:ascii="仿宋_GB2312" w:hAnsi="仿宋_GB2312" w:eastAsia="仿宋_GB2312" w:cs="仿宋_GB2312"/>
          <w:kern w:val="2"/>
          <w:sz w:val="32"/>
          <w:szCs w:val="32"/>
        </w:rPr>
        <w:t>万元，</w:t>
      </w:r>
      <w:r>
        <w:rPr>
          <w:rFonts w:hint="eastAsia" w:ascii="仿宋_GB2312" w:hAnsi="仿宋_GB2312" w:eastAsia="仿宋_GB2312" w:cs="仿宋_GB2312"/>
          <w:kern w:val="2"/>
          <w:sz w:val="32"/>
          <w:szCs w:val="32"/>
        </w:rPr>
        <w:t>项目支出1537.97</w:t>
      </w:r>
      <w:r>
        <w:rPr>
          <w:rFonts w:ascii="仿宋_GB2312" w:hAnsi="仿宋_GB2312" w:eastAsia="仿宋_GB2312" w:cs="仿宋_GB2312"/>
          <w:kern w:val="2"/>
          <w:sz w:val="32"/>
          <w:szCs w:val="32"/>
        </w:rPr>
        <w:t>万元</w:t>
      </w:r>
      <w:r>
        <w:rPr>
          <w:rFonts w:hint="eastAsia" w:ascii="仿宋_GB2312" w:hAnsi="仿宋_GB2312" w:eastAsia="仿宋_GB2312" w:cs="仿宋_GB2312"/>
          <w:kern w:val="2"/>
          <w:sz w:val="32"/>
          <w:szCs w:val="32"/>
        </w:rPr>
        <w:t>。全年实际支出2000.82</w:t>
      </w:r>
      <w:r>
        <w:rPr>
          <w:rFonts w:ascii="仿宋_GB2312" w:hAnsi="仿宋_GB2312" w:eastAsia="仿宋_GB2312" w:cs="仿宋_GB2312"/>
          <w:kern w:val="2"/>
          <w:sz w:val="32"/>
          <w:szCs w:val="32"/>
        </w:rPr>
        <w:t>万元，</w:t>
      </w:r>
      <w:r>
        <w:rPr>
          <w:rFonts w:hint="eastAsia" w:ascii="仿宋_GB2312" w:hAnsi="仿宋_GB2312" w:eastAsia="仿宋_GB2312" w:cs="仿宋_GB2312"/>
          <w:kern w:val="2"/>
          <w:sz w:val="32"/>
          <w:szCs w:val="32"/>
        </w:rPr>
        <w:t>其中：</w:t>
      </w:r>
      <w:r>
        <w:rPr>
          <w:rFonts w:ascii="仿宋_GB2312" w:hAnsi="仿宋_GB2312" w:eastAsia="仿宋_GB2312" w:cs="仿宋_GB2312"/>
          <w:kern w:val="2"/>
          <w:sz w:val="32"/>
          <w:szCs w:val="32"/>
        </w:rPr>
        <w:t>基本支出</w:t>
      </w:r>
      <w:r>
        <w:rPr>
          <w:rFonts w:hint="eastAsia" w:ascii="仿宋_GB2312" w:hAnsi="仿宋_GB2312" w:eastAsia="仿宋_GB2312" w:cs="仿宋_GB2312"/>
          <w:kern w:val="2"/>
          <w:sz w:val="32"/>
          <w:szCs w:val="32"/>
        </w:rPr>
        <w:t>582.52</w:t>
      </w:r>
      <w:r>
        <w:rPr>
          <w:rFonts w:ascii="仿宋_GB2312" w:hAnsi="仿宋_GB2312" w:eastAsia="仿宋_GB2312" w:cs="仿宋_GB2312"/>
          <w:kern w:val="2"/>
          <w:sz w:val="32"/>
          <w:szCs w:val="32"/>
        </w:rPr>
        <w:t>万元，</w:t>
      </w:r>
      <w:r>
        <w:rPr>
          <w:rFonts w:hint="eastAsia" w:ascii="仿宋_GB2312" w:hAnsi="仿宋_GB2312" w:eastAsia="仿宋_GB2312" w:cs="仿宋_GB2312"/>
          <w:kern w:val="2"/>
          <w:sz w:val="32"/>
          <w:szCs w:val="32"/>
        </w:rPr>
        <w:t>项目支出1418.3</w:t>
      </w:r>
      <w:r>
        <w:rPr>
          <w:rFonts w:ascii="仿宋_GB2312" w:hAnsi="仿宋_GB2312" w:eastAsia="仿宋_GB2312" w:cs="仿宋_GB2312"/>
          <w:kern w:val="2"/>
          <w:sz w:val="32"/>
          <w:szCs w:val="32"/>
        </w:rPr>
        <w:t>万元</w:t>
      </w:r>
      <w:r>
        <w:rPr>
          <w:rFonts w:hint="eastAsia" w:ascii="仿宋_GB2312" w:hAnsi="仿宋_GB2312" w:eastAsia="仿宋_GB2312" w:cs="仿宋_GB2312"/>
          <w:kern w:val="2"/>
          <w:sz w:val="32"/>
          <w:szCs w:val="32"/>
        </w:rPr>
        <w:t>。预算执行率100%。</w:t>
      </w:r>
    </w:p>
    <w:p>
      <w:pPr>
        <w:pStyle w:val="12"/>
        <w:widowControl/>
        <w:spacing w:line="640" w:lineRule="exact"/>
        <w:ind w:firstLine="640"/>
        <w:rPr>
          <w:rFonts w:ascii="Times New Roman" w:hAnsi="Times New Roman" w:eastAsia="楷体_GB2312"/>
          <w:b/>
          <w:sz w:val="32"/>
          <w:szCs w:val="32"/>
        </w:rPr>
      </w:pPr>
      <w:r>
        <w:rPr>
          <w:rFonts w:ascii="Times New Roman" w:hAnsi="Times New Roman" w:eastAsia="楷体_GB2312"/>
          <w:b/>
          <w:sz w:val="32"/>
          <w:szCs w:val="32"/>
        </w:rPr>
        <w:t>（一）基本支出情况</w:t>
      </w:r>
    </w:p>
    <w:p>
      <w:pPr>
        <w:pStyle w:val="12"/>
        <w:widowControl/>
        <w:spacing w:line="640" w:lineRule="exact"/>
        <w:ind w:firstLine="64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组织部2024年</w:t>
      </w:r>
      <w:r>
        <w:rPr>
          <w:rFonts w:ascii="仿宋_GB2312" w:hAnsi="仿宋_GB2312" w:eastAsia="仿宋_GB2312" w:cs="仿宋_GB2312"/>
          <w:kern w:val="2"/>
          <w:sz w:val="32"/>
          <w:szCs w:val="32"/>
        </w:rPr>
        <w:t>全年基本支出</w:t>
      </w:r>
      <w:r>
        <w:rPr>
          <w:rFonts w:hint="eastAsia" w:ascii="仿宋_GB2312" w:hAnsi="仿宋_GB2312" w:eastAsia="仿宋_GB2312" w:cs="仿宋_GB2312"/>
          <w:kern w:val="2"/>
          <w:sz w:val="32"/>
          <w:szCs w:val="32"/>
        </w:rPr>
        <w:t>582.52</w:t>
      </w:r>
      <w:r>
        <w:rPr>
          <w:rFonts w:ascii="仿宋_GB2312" w:hAnsi="仿宋_GB2312" w:eastAsia="仿宋_GB2312" w:cs="仿宋_GB2312"/>
          <w:kern w:val="2"/>
          <w:sz w:val="32"/>
          <w:szCs w:val="32"/>
        </w:rPr>
        <w:t>万元，其中人员经费</w:t>
      </w:r>
      <w:r>
        <w:rPr>
          <w:rFonts w:hint="eastAsia" w:ascii="仿宋_GB2312" w:hAnsi="仿宋_GB2312" w:eastAsia="仿宋_GB2312" w:cs="仿宋_GB2312"/>
          <w:kern w:val="2"/>
          <w:sz w:val="32"/>
          <w:szCs w:val="32"/>
        </w:rPr>
        <w:t>525.22</w:t>
      </w:r>
      <w:r>
        <w:rPr>
          <w:rFonts w:ascii="仿宋_GB2312" w:hAnsi="仿宋_GB2312" w:eastAsia="仿宋_GB2312" w:cs="仿宋_GB2312"/>
          <w:kern w:val="2"/>
          <w:sz w:val="32"/>
          <w:szCs w:val="32"/>
        </w:rPr>
        <w:t>万元，公用经费</w:t>
      </w:r>
      <w:r>
        <w:rPr>
          <w:rFonts w:hint="eastAsia" w:ascii="仿宋_GB2312" w:hAnsi="仿宋_GB2312" w:eastAsia="仿宋_GB2312" w:cs="仿宋_GB2312"/>
          <w:kern w:val="2"/>
          <w:sz w:val="32"/>
          <w:szCs w:val="32"/>
        </w:rPr>
        <w:t>57.3</w:t>
      </w:r>
      <w:r>
        <w:rPr>
          <w:rFonts w:ascii="仿宋_GB2312" w:hAnsi="仿宋_GB2312" w:eastAsia="仿宋_GB2312" w:cs="仿宋_GB2312"/>
          <w:kern w:val="2"/>
          <w:sz w:val="32"/>
          <w:szCs w:val="32"/>
        </w:rPr>
        <w:t>万元。</w:t>
      </w:r>
    </w:p>
    <w:p>
      <w:pPr>
        <w:pStyle w:val="12"/>
        <w:widowControl/>
        <w:spacing w:line="640" w:lineRule="exact"/>
        <w:ind w:firstLine="64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基本支出主要是指为保障单位机构正常运转、完成日常工作任务而发生的各项支出，包括用于基本工资、绩效工资、津贴补贴、社会保障缴费等人员经费，办公费、印刷费、水电费、差旅费、公务接待费、维修（护）费等日常公用经费，以及离退休费用等其他对个人和家庭的补助支出。</w:t>
      </w:r>
    </w:p>
    <w:p>
      <w:pPr>
        <w:pStyle w:val="12"/>
        <w:widowControl/>
        <w:numPr>
          <w:ilvl w:val="0"/>
          <w:numId w:val="3"/>
        </w:numPr>
        <w:spacing w:line="640" w:lineRule="exact"/>
        <w:ind w:firstLine="640"/>
        <w:rPr>
          <w:rFonts w:ascii="Times New Roman" w:hAnsi="Times New Roman" w:eastAsia="楷体_GB2312"/>
          <w:b/>
          <w:sz w:val="32"/>
          <w:szCs w:val="32"/>
        </w:rPr>
      </w:pPr>
      <w:r>
        <w:rPr>
          <w:rFonts w:ascii="Times New Roman" w:hAnsi="Times New Roman" w:eastAsia="楷体_GB2312"/>
          <w:b/>
          <w:sz w:val="32"/>
          <w:szCs w:val="32"/>
        </w:rPr>
        <w:t>项目支出情况</w:t>
      </w:r>
    </w:p>
    <w:p>
      <w:pPr>
        <w:pStyle w:val="12"/>
        <w:widowControl/>
        <w:spacing w:line="640" w:lineRule="exact"/>
        <w:ind w:firstLine="0" w:firstLineChars="0"/>
        <w:rPr>
          <w:rFonts w:ascii="Times New Roman" w:hAnsi="Times New Roman" w:eastAsia="楷体_GB2312"/>
          <w:b/>
          <w:sz w:val="32"/>
          <w:szCs w:val="32"/>
          <w:highlight w:val="yellow"/>
        </w:rPr>
      </w:pPr>
      <w:r>
        <w:rPr>
          <w:rFonts w:hint="eastAsia" w:ascii="Times New Roman" w:hAnsi="Times New Roman" w:eastAsia="楷体_GB2312"/>
          <w:b/>
          <w:sz w:val="32"/>
          <w:szCs w:val="32"/>
        </w:rPr>
        <w:t>　</w:t>
      </w:r>
      <w:r>
        <w:rPr>
          <w:rFonts w:hint="eastAsia" w:ascii="仿宋_GB2312" w:hAnsi="仿宋_GB2312" w:eastAsia="仿宋_GB2312" w:cs="仿宋_GB2312"/>
          <w:kern w:val="2"/>
          <w:sz w:val="32"/>
          <w:szCs w:val="32"/>
        </w:rPr>
        <w:t>　2024年</w:t>
      </w:r>
      <w:r>
        <w:rPr>
          <w:rFonts w:ascii="仿宋_GB2312" w:hAnsi="仿宋_GB2312" w:eastAsia="仿宋_GB2312" w:cs="仿宋_GB2312"/>
          <w:kern w:val="2"/>
          <w:sz w:val="32"/>
          <w:szCs w:val="32"/>
        </w:rPr>
        <w:t>，</w:t>
      </w:r>
      <w:r>
        <w:rPr>
          <w:rFonts w:hint="eastAsia" w:ascii="仿宋_GB2312" w:hAnsi="仿宋_GB2312" w:eastAsia="仿宋_GB2312" w:cs="仿宋_GB2312"/>
          <w:kern w:val="2"/>
          <w:sz w:val="32"/>
          <w:szCs w:val="32"/>
        </w:rPr>
        <w:t>组织部</w:t>
      </w:r>
      <w:r>
        <w:rPr>
          <w:rFonts w:ascii="仿宋_GB2312" w:hAnsi="仿宋_GB2312" w:eastAsia="仿宋_GB2312" w:cs="仿宋_GB2312"/>
          <w:kern w:val="2"/>
          <w:sz w:val="32"/>
          <w:szCs w:val="32"/>
        </w:rPr>
        <w:t>全年</w:t>
      </w:r>
      <w:r>
        <w:rPr>
          <w:rFonts w:hint="eastAsia" w:ascii="仿宋_GB2312" w:hAnsi="仿宋_GB2312" w:eastAsia="仿宋_GB2312" w:cs="仿宋_GB2312"/>
          <w:kern w:val="2"/>
          <w:sz w:val="32"/>
          <w:szCs w:val="32"/>
        </w:rPr>
        <w:t>项目支出1418.3</w:t>
      </w:r>
      <w:r>
        <w:rPr>
          <w:rFonts w:ascii="仿宋_GB2312" w:hAnsi="仿宋_GB2312" w:eastAsia="仿宋_GB2312" w:cs="仿宋_GB2312"/>
          <w:kern w:val="2"/>
          <w:sz w:val="32"/>
          <w:szCs w:val="32"/>
        </w:rPr>
        <w:t>万元</w:t>
      </w:r>
      <w:r>
        <w:rPr>
          <w:rFonts w:hint="eastAsia" w:ascii="仿宋_GB2312" w:hAnsi="仿宋_GB2312" w:eastAsia="仿宋_GB2312" w:cs="仿宋_GB2312"/>
          <w:kern w:val="2"/>
          <w:sz w:val="32"/>
          <w:szCs w:val="32"/>
        </w:rPr>
        <w:t>，主要是本部门为完成特定工作任务或事业发展目标而发生</w:t>
      </w:r>
      <w:r>
        <w:rPr>
          <w:rFonts w:hint="eastAsia" w:ascii="仿宋_GB2312" w:hAnsi="仿宋_GB2312" w:eastAsia="仿宋_GB2312" w:cs="仿宋_GB2312"/>
          <w:color w:val="000000"/>
          <w:kern w:val="2"/>
          <w:sz w:val="32"/>
          <w:szCs w:val="32"/>
          <w:shd w:val="clear" w:color="auto" w:fill="FFFFFF"/>
        </w:rPr>
        <w:t>的支出，包括有关事业发展专项、专项业务费、基本建设支出等，含业务工作经费、组织专项经费等项目支出。</w:t>
      </w:r>
    </w:p>
    <w:p>
      <w:pPr>
        <w:pStyle w:val="12"/>
        <w:widowControl/>
        <w:numPr>
          <w:ilvl w:val="0"/>
          <w:numId w:val="1"/>
        </w:numPr>
        <w:spacing w:line="640" w:lineRule="exact"/>
        <w:ind w:firstLine="640"/>
        <w:rPr>
          <w:rFonts w:ascii="Times New Roman" w:hAnsi="Times New Roman" w:eastAsia="黑体"/>
          <w:sz w:val="32"/>
          <w:szCs w:val="32"/>
        </w:rPr>
      </w:pPr>
      <w:r>
        <w:rPr>
          <w:rFonts w:ascii="Times New Roman" w:hAnsi="Times New Roman" w:eastAsia="黑体"/>
          <w:sz w:val="32"/>
          <w:szCs w:val="32"/>
        </w:rPr>
        <w:t>政府性基金预算支出情况</w:t>
      </w:r>
    </w:p>
    <w:p>
      <w:pPr>
        <w:pStyle w:val="12"/>
        <w:widowControl/>
        <w:spacing w:line="560" w:lineRule="exact"/>
        <w:ind w:firstLine="640"/>
        <w:rPr>
          <w:rFonts w:ascii="Times New Roman" w:hAnsi="Times New Roman" w:eastAsia="黑体"/>
          <w:sz w:val="32"/>
          <w:szCs w:val="32"/>
        </w:rPr>
      </w:pPr>
      <w:r>
        <w:rPr>
          <w:rFonts w:hint="eastAsia" w:ascii="仿宋_GB2312" w:hAnsi="仿宋_GB2312" w:eastAsia="仿宋_GB2312" w:cs="仿宋_GB2312"/>
          <w:kern w:val="2"/>
          <w:sz w:val="32"/>
          <w:szCs w:val="32"/>
        </w:rPr>
        <w:t>组织部无此项支出。</w:t>
      </w:r>
    </w:p>
    <w:p>
      <w:pPr>
        <w:pStyle w:val="12"/>
        <w:widowControl/>
        <w:numPr>
          <w:ilvl w:val="0"/>
          <w:numId w:val="1"/>
        </w:numPr>
        <w:spacing w:line="640" w:lineRule="exact"/>
        <w:ind w:firstLine="640"/>
        <w:rPr>
          <w:rFonts w:ascii="Times New Roman" w:hAnsi="Times New Roman" w:eastAsia="黑体"/>
          <w:sz w:val="32"/>
          <w:szCs w:val="32"/>
        </w:rPr>
      </w:pPr>
      <w:r>
        <w:rPr>
          <w:rFonts w:ascii="Times New Roman" w:hAnsi="Times New Roman" w:eastAsia="黑体"/>
          <w:sz w:val="32"/>
          <w:szCs w:val="32"/>
        </w:rPr>
        <w:t>国有资本经营预算支出情况</w:t>
      </w:r>
    </w:p>
    <w:p>
      <w:pPr>
        <w:pStyle w:val="12"/>
        <w:widowControl/>
        <w:spacing w:line="560" w:lineRule="exact"/>
        <w:ind w:firstLine="640"/>
        <w:rPr>
          <w:rFonts w:ascii="Times New Roman" w:hAnsi="Times New Roman" w:eastAsia="黑体"/>
          <w:sz w:val="32"/>
          <w:szCs w:val="32"/>
        </w:rPr>
      </w:pPr>
      <w:r>
        <w:rPr>
          <w:rFonts w:hint="eastAsia" w:ascii="仿宋_GB2312" w:hAnsi="仿宋_GB2312" w:eastAsia="仿宋_GB2312" w:cs="仿宋_GB2312"/>
          <w:kern w:val="2"/>
          <w:sz w:val="32"/>
          <w:szCs w:val="32"/>
        </w:rPr>
        <w:t>组织部无此项支出。</w:t>
      </w:r>
    </w:p>
    <w:p>
      <w:pPr>
        <w:pStyle w:val="12"/>
        <w:widowControl/>
        <w:numPr>
          <w:ilvl w:val="0"/>
          <w:numId w:val="1"/>
        </w:numPr>
        <w:spacing w:line="640" w:lineRule="exact"/>
        <w:ind w:firstLine="640"/>
        <w:rPr>
          <w:rFonts w:ascii="Times New Roman" w:hAnsi="Times New Roman" w:eastAsia="黑体"/>
          <w:sz w:val="32"/>
          <w:szCs w:val="32"/>
        </w:rPr>
      </w:pPr>
      <w:r>
        <w:rPr>
          <w:rFonts w:ascii="Times New Roman" w:hAnsi="Times New Roman" w:eastAsia="黑体"/>
          <w:sz w:val="32"/>
          <w:szCs w:val="32"/>
        </w:rPr>
        <w:t>社会保险基金预算支出情况</w:t>
      </w:r>
    </w:p>
    <w:p>
      <w:pPr>
        <w:pStyle w:val="12"/>
        <w:widowControl/>
        <w:spacing w:line="560" w:lineRule="exact"/>
        <w:ind w:firstLine="640"/>
        <w:rPr>
          <w:rFonts w:ascii="Times New Roman" w:hAnsi="Times New Roman" w:eastAsia="黑体"/>
          <w:sz w:val="32"/>
          <w:szCs w:val="32"/>
        </w:rPr>
      </w:pPr>
      <w:r>
        <w:rPr>
          <w:rFonts w:hint="eastAsia" w:ascii="仿宋_GB2312" w:hAnsi="仿宋_GB2312" w:eastAsia="仿宋_GB2312" w:cs="仿宋_GB2312"/>
          <w:kern w:val="2"/>
          <w:sz w:val="32"/>
          <w:szCs w:val="32"/>
        </w:rPr>
        <w:t>组织部无此项支出。</w:t>
      </w:r>
    </w:p>
    <w:p>
      <w:pPr>
        <w:widowControl/>
        <w:numPr>
          <w:ilvl w:val="0"/>
          <w:numId w:val="1"/>
        </w:numPr>
        <w:spacing w:line="640" w:lineRule="exact"/>
        <w:ind w:firstLine="640" w:firstLineChars="200"/>
        <w:rPr>
          <w:rFonts w:ascii="Times New Roman" w:hAnsi="Times New Roman" w:eastAsia="黑体"/>
          <w:sz w:val="32"/>
          <w:szCs w:val="32"/>
        </w:rPr>
      </w:pPr>
      <w:r>
        <w:rPr>
          <w:rFonts w:ascii="Times New Roman" w:hAnsi="Times New Roman" w:eastAsia="黑体"/>
          <w:sz w:val="32"/>
          <w:szCs w:val="32"/>
        </w:rPr>
        <w:t>部门整体支出绩效情况</w:t>
      </w:r>
    </w:p>
    <w:p>
      <w:pPr>
        <w:pStyle w:val="12"/>
        <w:widowControl/>
        <w:spacing w:line="640" w:lineRule="exact"/>
        <w:ind w:firstLine="640" w:firstLineChars="0"/>
      </w:pPr>
      <w:r>
        <w:rPr>
          <w:rFonts w:ascii="Times New Roman" w:hAnsi="Times New Roman" w:eastAsia="仿宋_GB2312"/>
          <w:color w:val="000000"/>
          <w:sz w:val="32"/>
          <w:szCs w:val="32"/>
        </w:rPr>
        <w:t>2024年</w:t>
      </w:r>
      <w:r>
        <w:rPr>
          <w:rFonts w:hint="eastAsia" w:ascii="Times New Roman" w:hAnsi="Times New Roman" w:eastAsia="仿宋_GB2312"/>
          <w:color w:val="000000"/>
          <w:sz w:val="32"/>
          <w:szCs w:val="32"/>
        </w:rPr>
        <w:t>，</w:t>
      </w:r>
      <w:r>
        <w:rPr>
          <w:rFonts w:hint="eastAsia" w:ascii="仿宋_GB2312" w:hAnsi="仿宋_GB2312" w:eastAsia="仿宋_GB2312" w:cs="仿宋_GB2312"/>
          <w:kern w:val="2"/>
          <w:sz w:val="32"/>
          <w:szCs w:val="32"/>
        </w:rPr>
        <w:t>组织部</w:t>
      </w:r>
      <w:r>
        <w:rPr>
          <w:rFonts w:hint="eastAsia" w:ascii="Times New Roman" w:hAnsi="Times New Roman" w:eastAsia="仿宋_GB2312"/>
          <w:color w:val="000000"/>
          <w:sz w:val="32"/>
          <w:szCs w:val="32"/>
        </w:rPr>
        <w:t>严格执行预算，</w:t>
      </w:r>
      <w:r>
        <w:rPr>
          <w:rFonts w:ascii="Times New Roman" w:hAnsi="Times New Roman" w:eastAsia="仿宋_GB2312"/>
          <w:color w:val="000000"/>
          <w:sz w:val="32"/>
          <w:szCs w:val="32"/>
        </w:rPr>
        <w:t>财务管理规范，各项工作任务全面完成，单位行政运行稳定有序</w:t>
      </w:r>
      <w:r>
        <w:rPr>
          <w:rFonts w:hint="eastAsia" w:ascii="Times New Roman" w:hAnsi="Times New Roman" w:eastAsia="仿宋_GB2312"/>
          <w:color w:val="000000"/>
          <w:sz w:val="32"/>
          <w:szCs w:val="32"/>
        </w:rPr>
        <w:t>，</w:t>
      </w:r>
      <w:r>
        <w:rPr>
          <w:rFonts w:hint="eastAsia" w:ascii="仿宋_GB2312" w:hAnsi="仿宋_GB2312" w:eastAsia="仿宋_GB2312" w:cs="仿宋_GB2312"/>
          <w:kern w:val="2"/>
          <w:sz w:val="32"/>
          <w:szCs w:val="32"/>
        </w:rPr>
        <w:t>部门整体支出绩效自评得分97.44分。</w:t>
      </w:r>
    </w:p>
    <w:p>
      <w:pPr>
        <w:widowControl/>
        <w:numPr>
          <w:ilvl w:val="0"/>
          <w:numId w:val="4"/>
        </w:numPr>
        <w:spacing w:line="560" w:lineRule="exact"/>
        <w:ind w:firstLine="640" w:firstLineChars="200"/>
        <w:rPr>
          <w:rFonts w:ascii="Times New Roman" w:hAnsi="Times New Roman" w:eastAsia="仿宋_GB2312"/>
          <w:color w:val="000000"/>
          <w:sz w:val="32"/>
          <w:szCs w:val="32"/>
        </w:rPr>
      </w:pPr>
      <w:r>
        <w:rPr>
          <w:rFonts w:hint="eastAsia" w:ascii="仿宋_GB2312" w:hAnsi="仿宋_GB2312" w:eastAsia="仿宋_GB2312" w:cs="仿宋_GB2312"/>
          <w:kern w:val="2"/>
          <w:sz w:val="32"/>
          <w:szCs w:val="32"/>
        </w:rPr>
        <w:t>预算财务管理方面</w:t>
      </w:r>
    </w:p>
    <w:p>
      <w:pPr>
        <w:pStyle w:val="12"/>
        <w:widowControl/>
        <w:spacing w:line="640" w:lineRule="exact"/>
        <w:ind w:firstLine="640" w:firstLineChars="0"/>
        <w:rPr>
          <w:rFonts w:ascii="Times New Roman" w:hAnsi="Times New Roman" w:eastAsia="仿宋_GB2312"/>
          <w:color w:val="000000"/>
          <w:sz w:val="32"/>
          <w:szCs w:val="32"/>
        </w:rPr>
      </w:pPr>
      <w:r>
        <w:rPr>
          <w:rFonts w:ascii="Times New Roman" w:hAnsi="Times New Roman" w:eastAsia="仿宋_GB2312"/>
          <w:color w:val="000000"/>
          <w:sz w:val="32"/>
          <w:szCs w:val="32"/>
        </w:rPr>
        <w:t>2024年</w:t>
      </w:r>
      <w:r>
        <w:rPr>
          <w:rFonts w:hint="eastAsia" w:ascii="Times New Roman" w:hAnsi="Times New Roman" w:eastAsia="仿宋_GB2312"/>
          <w:color w:val="000000"/>
          <w:sz w:val="32"/>
          <w:szCs w:val="32"/>
        </w:rPr>
        <w:t>，</w:t>
      </w:r>
      <w:r>
        <w:rPr>
          <w:rFonts w:hint="eastAsia" w:ascii="仿宋_GB2312" w:hAnsi="仿宋_GB2312" w:eastAsia="仿宋_GB2312" w:cs="仿宋_GB2312"/>
          <w:kern w:val="2"/>
          <w:sz w:val="32"/>
          <w:szCs w:val="32"/>
        </w:rPr>
        <w:t>组织部</w:t>
      </w:r>
      <w:r>
        <w:rPr>
          <w:rFonts w:ascii="Times New Roman" w:hAnsi="Times New Roman" w:eastAsia="仿宋_GB2312"/>
          <w:color w:val="000000"/>
          <w:sz w:val="32"/>
          <w:szCs w:val="32"/>
        </w:rPr>
        <w:t>严格遵守各项规章制度，严格执行经费审批制度、报销程序，加强了经费支出的监督管理；坚持经费预算科学化、精细化，执行控制规范化、责任化，监督检查常态化、同步化；资金使用没有截留、挪用、虚列支出、随意借用等情况；重大财务事项经由集体研究决策；专项资金做到专款专用；原始凭证的取得真实有效。部门预决算信息按规定内容，在规定的时限内予以公开。基础数据信息和会计信息资料真实、完整、准确。</w:t>
      </w:r>
    </w:p>
    <w:p>
      <w:pPr>
        <w:pStyle w:val="3"/>
        <w:spacing w:line="560" w:lineRule="exact"/>
        <w:ind w:firstLine="640"/>
        <w:rPr>
          <w:rFonts w:ascii="Times New Roman" w:hAnsi="Times New Roman" w:eastAsia="仿宋_GB2312"/>
          <w:color w:val="000000"/>
          <w:sz w:val="32"/>
          <w:szCs w:val="32"/>
        </w:rPr>
      </w:pPr>
      <w:r>
        <w:rPr>
          <w:rFonts w:hint="eastAsia" w:ascii="仿宋_GB2312" w:hAnsi="仿宋_GB2312" w:eastAsia="仿宋_GB2312" w:cs="仿宋_GB2312"/>
          <w:kern w:val="44"/>
          <w:sz w:val="32"/>
          <w:szCs w:val="32"/>
        </w:rPr>
        <w:t>（二）履职产出效益方面</w:t>
      </w:r>
    </w:p>
    <w:p>
      <w:pPr>
        <w:pStyle w:val="12"/>
        <w:widowControl/>
        <w:spacing w:line="640" w:lineRule="exact"/>
        <w:ind w:firstLine="640" w:firstLineChars="0"/>
        <w:rPr>
          <w:rFonts w:ascii="Times New Roman" w:hAnsi="Times New Roman" w:eastAsia="仿宋_GB2312"/>
          <w:color w:val="000000"/>
          <w:sz w:val="32"/>
          <w:szCs w:val="32"/>
        </w:rPr>
      </w:pPr>
      <w:r>
        <w:rPr>
          <w:rFonts w:ascii="Times New Roman" w:hAnsi="Times New Roman" w:eastAsia="仿宋_GB2312"/>
          <w:color w:val="000000"/>
          <w:sz w:val="32"/>
          <w:szCs w:val="32"/>
        </w:rPr>
        <w:t>2024年</w:t>
      </w:r>
      <w:r>
        <w:rPr>
          <w:rFonts w:hint="eastAsia" w:ascii="Times New Roman" w:hAnsi="Times New Roman" w:eastAsia="仿宋_GB2312"/>
          <w:color w:val="000000"/>
          <w:sz w:val="32"/>
          <w:szCs w:val="32"/>
        </w:rPr>
        <w:t>，</w:t>
      </w:r>
      <w:r>
        <w:rPr>
          <w:rFonts w:hint="eastAsia" w:ascii="仿宋_GB2312" w:hAnsi="仿宋_GB2312" w:eastAsia="仿宋_GB2312" w:cs="仿宋_GB2312"/>
          <w:kern w:val="2"/>
          <w:sz w:val="32"/>
          <w:szCs w:val="32"/>
        </w:rPr>
        <w:t>组织部</w:t>
      </w:r>
      <w:r>
        <w:rPr>
          <w:rFonts w:ascii="Times New Roman" w:hAnsi="Times New Roman" w:eastAsia="仿宋_GB2312"/>
          <w:color w:val="000000"/>
          <w:sz w:val="32"/>
          <w:szCs w:val="32"/>
        </w:rPr>
        <w:t>认真履行</w:t>
      </w:r>
      <w:r>
        <w:rPr>
          <w:rFonts w:hint="eastAsia" w:ascii="Times New Roman" w:hAnsi="Times New Roman" w:eastAsia="仿宋_GB2312"/>
          <w:color w:val="000000"/>
          <w:sz w:val="32"/>
          <w:szCs w:val="32"/>
        </w:rPr>
        <w:t>部门职责</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履职情况如下：</w:t>
      </w:r>
    </w:p>
    <w:p>
      <w:pPr>
        <w:overflowPunct w:val="0"/>
        <w:spacing w:line="580" w:lineRule="exact"/>
        <w:ind w:firstLine="640" w:firstLineChars="200"/>
        <w:jc w:val="left"/>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一是强化笃信笃行，推动政治建设提升新高度。坚持不懈用习近平新时代中国特色社会主义思想凝心铸魂，持续在深化内化转化上下功夫。一是全方位拓展主题教育成果。以巩固拓展主题教育成果为抓手，始终把政治标准、政治要求融入组织工作的全过程、各领域，指导督促各级把“学思想”作为党委（党组）会议“第一议题”、集体学习“第一主题”、干部培训“第一主课”，健全完善政治素质考察办法和政治监督常态化工作机制，严肃认真开展党内政治生活，坚决把衷心拥护“两个确立”、忠诚践行“两个维护”落到实处。二是全领域实施党纪学习教育。坚持把党纪学习教育作为重大政治任务摆在突出位置，精心组织实施，区委理论中心组围绕《条例》开展4次专题研讨，有效引领各级党委（党组）开展中心组专题学习《条例》180场次、专题学习习近平总书记关于全面加强党的纪律建设的重要论述45次，靶向纠治群众身边不正之风和腐败问题，累计发现问题线索269件，立案368件，推动解决470件。三是全周期加强干部政治训练。深入实施习近平新时代中国特色社会主义思想培训计划，举办学习贯彻党的二十届三中全会精神集中轮训班2期、君山大讲堂14期、科级干部和中青年干部培训班2期，开展送学送教46场，培训党员干部人才共计3400余人次。持续推进全省首批党员教育现场教学点——“守护好一江碧水”展陈馆和君山区“不能腐”数字教育基地等党性教育现场教学点打造和教学课程开发，不断增强培训实效性和教学吸引力。</w:t>
      </w:r>
    </w:p>
    <w:p>
      <w:pPr>
        <w:overflowPunct w:val="0"/>
        <w:spacing w:line="58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二是突出担当担责，推动干部队伍焕发新气象。充分发挥干部之家的职能优势，源源不断把高素质专业化干部适配到高质量发展的各领域、各条线、各环节。一是树正实干实绩用人导向。坚持凭德才和实干实绩选拔干部，真正把既有本事又干实事、既有政绩又有成效的干部选出来、用起来。2024年共调整干部6批次172人次，提拔重用60人，其中在信访维稳、招商引资等急难险重、中心工作岗位表现优秀干部42人、在教育医疗、基层一线岗位建功立业的干部18人。二是选优配强各级领导班子。坚持长远规划和动态优化相结合，认真贯彻落实新一轮《全国党政领导班子建设规划纲要》，全区配备37岁以下年轻干部的党政工作部门领导班子已达到54%。稳妥有序做好机构改革工作，在2024年6月底前机构、职责、编制、人员等已按要求调整到位。充分利用职级职数空缺资源，消化19名超职数配备干部，推动形成更合理梯队结构。三是锻造堪当重任干部队伍。注重在重大斗争中磨砺干部，入汛以来，特别是团洲垸洞庭湖一线堤防决堤后，紧急抽调760多名全区各级领导干部奔赴大堤，累计抽调90名新提拔干部、年轻副科职干部任防汛“巡逻长”。采取“外派学习+跟岗实训”“挂职锻炼+对口帮扶”一体推进的方式，先后选派9名同志成立驻外招商小分队、4名新提拔年轻干部至区信访局跟班学习、1名干部至湘西州保靖县进行为期2年的对口帮扶，3名副科实职干部到市直单位挂职锻炼。四是用好用活双向激励措施。认真落实“干部激励十条”，妥善解决3名干部夫妻两地异地问题，评选15名为民服务、创新发展、艰苦奋斗的“三牛”型干部，对其中符合晋升职级的5名干部全部予以晋级；建立干部日常监督“六有六必”工作机制，畅通“能上能下”双渠道，2名受处分干部在影响期满后，因工作表现突出被提拔任用；对不适宜、不胜任现工作岗位的7名干部进行了谈话提醒（其中2人交流，1人进行了能下调整），对4名领导干部年度考核取消优秀等次资格，推动形成能者上、优者奖、庸者下、劣者汰的良好局面。</w:t>
      </w:r>
    </w:p>
    <w:p>
      <w:pPr>
        <w:pStyle w:val="9"/>
        <w:overflowPunct w:val="0"/>
        <w:spacing w:line="580" w:lineRule="exact"/>
        <w:ind w:firstLine="640" w:firstLineChars="200"/>
        <w:rPr>
          <w:rFonts w:ascii="Times New Roman" w:hAnsi="Times New Roman"/>
          <w:color w:val="000000"/>
          <w:lang w:val="en-US" w:bidi="ar-SA"/>
        </w:rPr>
      </w:pPr>
      <w:r>
        <w:rPr>
          <w:rFonts w:hint="eastAsia" w:ascii="Times New Roman" w:hAnsi="Times New Roman"/>
          <w:color w:val="000000"/>
          <w:lang w:val="en-US" w:bidi="ar-SA"/>
        </w:rPr>
        <w:t>三是持续聚心聚力，推动基层党建构筑新格局。坚持系统谋划、实践创新、全域推进，着力推动基层党建提质增效。一是精准施策推进减负赋能增效。出台破解乡村治理“小马拉大车”具体措施11条，统一区镇村三级标识标牌，集中销毁挂牌1150块，清退违规借调人员13名。健全村级组织运转经费和村干部待遇增长机制，推动村均运转经费达40.13万，择优选聘7名镇（街道）事业编制人员，1名优秀村（社区）干部考录公务员。二是点面结合打好化债增收硬仗。坚持“一村一策，一债一法”，依法依规、分步实施推动村级债务逐步清零，以规范国有农用地管理为切口，以点带面推进国有农田清田清收工作，清收欠款2762.61万元。截至目前，全区债务总体规模由3.18亿降低到1.7亿，负债100万元以上的村数量降低了27%。把增加村集体经济收入作为债务化解工作的重头戏，大力推进“强村计划”，50万元以上村8个，100万元以上村4个，村均收入33.76万元；积极盘活集体资产，挂牌农村产权交易中心，1809亩土地入市交易，金额达1072万元。三是综合施策激活基层党建活力。开展“领题破题强基、双融双促赋能”行动，全域推广“群英断是非”工作法，完善“三长制”常态长效运行机制；加强村党组织书记后备力量储育，动态补齐村干部33名，储备后备干部123人；在防汛救灾中组建临时党支部35个、党员突击队65支，牢牢守住“第二道防线”，高效抢建“第三道防线”，君山区良心堡镇党委被评为湖南省先进基层党组织；区委书记带队赴监利市考察调研，签订合作备忘录，持续深化“碧水红盟”区域党建合作区创建。</w:t>
      </w:r>
    </w:p>
    <w:p>
      <w:pPr>
        <w:overflowPunct w:val="0"/>
        <w:spacing w:line="58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四是鼓励创新创造，推动人才资源释放新动能。持续完善党管人才体制机制，努力把“第一资源”转化为发展“第一动力”。一是聚焦需求拓展引才思路。把“四海揽才”工作重点向经济发展主战场聚焦，面向社会招揽140余名事业单位急需紧缺青年人才，柔性引进中国农业大学国家数字渔业创新中心“湘北分中心”等5个专家人才团队，新增1个市级工程技术研究中心、1个省级企业技术中心。二是创新举措激发聚才活力。开展“专家人才下基层”菜单式培训，大力培育“土专家”，打造“田秀才”，聘用2024-2025年度2名省派科技特派员、9名市派科技特派员和第四届银发人才14名。三是优化环境厚植留才沃土。完善“1+N”人才政策制度体系，强化人才住房就医、子女就学、配偶随迁等保障，安排21名优秀人才入住人才公寓，发放各类人才补贴78万余元，走访慰问14名专家人才，努力用环境打动人才，用服务温暖人才。</w:t>
      </w:r>
    </w:p>
    <w:p>
      <w:pPr>
        <w:widowControl/>
        <w:spacing w:line="640" w:lineRule="exact"/>
        <w:ind w:firstLine="640"/>
        <w:rPr>
          <w:rFonts w:ascii="Times New Roman" w:hAnsi="Times New Roman" w:eastAsia="黑体"/>
          <w:sz w:val="32"/>
          <w:szCs w:val="32"/>
        </w:rPr>
      </w:pPr>
      <w:r>
        <w:rPr>
          <w:rFonts w:hint="eastAsia" w:ascii="Times New Roman" w:hAnsi="Times New Roman" w:eastAsia="黑体"/>
          <w:sz w:val="32"/>
          <w:szCs w:val="32"/>
        </w:rPr>
        <w:t>六、</w:t>
      </w:r>
      <w:r>
        <w:rPr>
          <w:rFonts w:ascii="Times New Roman" w:hAnsi="Times New Roman" w:eastAsia="黑体"/>
          <w:sz w:val="32"/>
          <w:szCs w:val="32"/>
        </w:rPr>
        <w:t>存在的问题及原因分析</w:t>
      </w:r>
    </w:p>
    <w:p>
      <w:pPr>
        <w:widowControl/>
        <w:spacing w:line="64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w:t>
      </w: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预算绩效目标不够明确。虽设立了绩效目标，但不够明确、内容不够细化和量化。</w:t>
      </w:r>
    </w:p>
    <w:p>
      <w:pPr>
        <w:widowControl/>
        <w:spacing w:line="64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w:t>
      </w: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预算编制工作有待细化。预算编制不够明确和细化，预算编制的合理性有待提高，预算执行力度有待进一步加强。</w:t>
      </w:r>
    </w:p>
    <w:p>
      <w:pPr>
        <w:widowControl/>
        <w:spacing w:line="64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w:t>
      </w: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资金使用效益有待提高。资金管理有待强化，资金使用的合理性、平衡性有待提高。</w:t>
      </w:r>
    </w:p>
    <w:p>
      <w:pPr>
        <w:widowControl/>
        <w:spacing w:line="640" w:lineRule="exact"/>
        <w:ind w:firstLine="640"/>
        <w:rPr>
          <w:rFonts w:ascii="Times New Roman" w:hAnsi="Times New Roman" w:eastAsia="黑体"/>
          <w:sz w:val="32"/>
          <w:szCs w:val="32"/>
        </w:rPr>
      </w:pPr>
      <w:r>
        <w:rPr>
          <w:rFonts w:hint="eastAsia" w:ascii="Times New Roman" w:hAnsi="Times New Roman" w:eastAsia="黑体"/>
          <w:sz w:val="32"/>
          <w:szCs w:val="32"/>
        </w:rPr>
        <w:t>七、</w:t>
      </w:r>
      <w:r>
        <w:rPr>
          <w:rFonts w:ascii="Times New Roman" w:hAnsi="Times New Roman" w:eastAsia="黑体"/>
          <w:sz w:val="32"/>
          <w:szCs w:val="32"/>
        </w:rPr>
        <w:t>下一步改进措施</w:t>
      </w:r>
    </w:p>
    <w:p>
      <w:pPr>
        <w:pStyle w:val="9"/>
        <w:ind w:firstLine="640"/>
        <w:rPr>
          <w:lang w:val="en-US"/>
        </w:rPr>
      </w:pPr>
      <w:r>
        <w:rPr>
          <w:rFonts w:hint="eastAsia"/>
          <w:lang w:val="en-US"/>
        </w:rPr>
        <w:t>1、提高对预算绩效管理的认识，充分理解财政绩效评价指标体系，注重绩效目标、评价指标的关联性，依据部门职责和年度工作重点，更加科学合理地确定部门绩效目标和评价目标。</w:t>
      </w:r>
      <w:r>
        <w:t>对相关人员加强培训，规范部门预算收支核算，切实提高部门预算收支管理水平。</w:t>
      </w:r>
    </w:p>
    <w:p>
      <w:pPr>
        <w:widowControl/>
        <w:spacing w:line="640" w:lineRule="exact"/>
        <w:ind w:firstLine="640"/>
        <w:rPr>
          <w:rFonts w:ascii="仿宋_GB2312" w:hAnsi="仿宋_GB2312" w:eastAsia="仿宋_GB2312"/>
          <w:sz w:val="32"/>
          <w:szCs w:val="32"/>
          <w:lang w:bidi="zh-CN"/>
        </w:rPr>
      </w:pPr>
      <w:r>
        <w:rPr>
          <w:rFonts w:hint="eastAsia" w:ascii="仿宋_GB2312" w:hAnsi="仿宋_GB2312" w:eastAsia="仿宋_GB2312"/>
          <w:sz w:val="32"/>
          <w:szCs w:val="32"/>
          <w:lang w:bidi="zh-CN"/>
        </w:rPr>
        <w:t>2、强化部门预算约束，细化预算编制，严格预算执行，合理制定项目方案和计划，减少预算执行中的项目预算调整和结余，平衡好预算执行进度，提高财政资金使用效率和效益。</w:t>
      </w:r>
    </w:p>
    <w:p>
      <w:pPr>
        <w:widowControl/>
        <w:spacing w:line="640" w:lineRule="exact"/>
        <w:ind w:firstLine="640"/>
        <w:rPr>
          <w:rFonts w:ascii="仿宋_GB2312" w:hAnsi="仿宋_GB2312" w:eastAsia="仿宋_GB2312"/>
          <w:sz w:val="32"/>
          <w:szCs w:val="32"/>
          <w:lang w:bidi="zh-CN"/>
        </w:rPr>
      </w:pPr>
      <w:r>
        <w:rPr>
          <w:rFonts w:hint="eastAsia" w:ascii="仿宋_GB2312" w:hAnsi="仿宋_GB2312" w:eastAsia="仿宋_GB2312"/>
          <w:sz w:val="32"/>
          <w:szCs w:val="32"/>
          <w:lang w:bidi="zh-CN"/>
        </w:rPr>
        <w:t>3、注重考核的全面性和客观性，对预设指标之外的项目效果同样纳入考核评价报告。</w:t>
      </w:r>
    </w:p>
    <w:p>
      <w:pPr>
        <w:widowControl/>
        <w:numPr>
          <w:ilvl w:val="0"/>
          <w:numId w:val="5"/>
        </w:numPr>
        <w:spacing w:line="640" w:lineRule="exact"/>
        <w:ind w:firstLine="640" w:firstLineChars="200"/>
        <w:rPr>
          <w:rFonts w:ascii="Times New Roman" w:hAnsi="Times New Roman" w:eastAsia="黑体"/>
          <w:sz w:val="32"/>
          <w:szCs w:val="32"/>
        </w:rPr>
      </w:pPr>
      <w:r>
        <w:rPr>
          <w:rFonts w:ascii="Times New Roman" w:hAnsi="Times New Roman" w:eastAsia="黑体"/>
          <w:sz w:val="32"/>
          <w:szCs w:val="32"/>
        </w:rPr>
        <w:t>部门整体支出绩效自评结果拟应用和公开情况</w:t>
      </w:r>
    </w:p>
    <w:p>
      <w:pPr>
        <w:widowControl/>
        <w:shd w:val="clear" w:color="auto" w:fill="FFFFFF"/>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对照绩效自评结果，总结经验，发现问题，提出改进的方向和具体措施，促进工作的开展。逐步建立绩效评价与部门预算相结合的结果应用机制，实行绩效评价结果在部门预算编制和执行中的应用，促进财政资金的合理分配与有效使用。</w:t>
      </w:r>
    </w:p>
    <w:p>
      <w:pPr>
        <w:widowControl/>
        <w:shd w:val="clear" w:color="auto" w:fill="FFFFFF"/>
        <w:spacing w:line="560" w:lineRule="exact"/>
        <w:ind w:firstLine="640" w:firstLineChars="200"/>
      </w:pPr>
      <w:r>
        <w:rPr>
          <w:rFonts w:hint="eastAsia" w:ascii="Times New Roman" w:hAnsi="Times New Roman" w:eastAsia="仿宋_GB2312"/>
          <w:sz w:val="32"/>
          <w:szCs w:val="32"/>
        </w:rPr>
        <w:t>对部门整体支出绩效自评在规定时间内公开至本单位门户网站，确保公开数据真实、完整、准确。</w:t>
      </w:r>
    </w:p>
    <w:p>
      <w:pPr>
        <w:widowControl/>
        <w:spacing w:line="64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十、</w:t>
      </w:r>
      <w:r>
        <w:rPr>
          <w:rFonts w:ascii="Times New Roman" w:hAnsi="Times New Roman" w:eastAsia="黑体"/>
          <w:sz w:val="32"/>
          <w:szCs w:val="32"/>
        </w:rPr>
        <w:t>其他需要说明的情况</w:t>
      </w:r>
    </w:p>
    <w:p>
      <w:pPr>
        <w:widowControl/>
        <w:spacing w:line="6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无。</w:t>
      </w:r>
      <w:r>
        <w:rPr>
          <w:rFonts w:hint="eastAsia" w:ascii="Times New Roman" w:hAnsi="Times New Roman" w:eastAsia="仿宋_GB2312"/>
          <w:sz w:val="32"/>
          <w:szCs w:val="32"/>
        </w:rPr>
        <w:br w:type="page"/>
      </w:r>
    </w:p>
    <w:p>
      <w:pPr>
        <w:spacing w:afterLines="50" w:line="600" w:lineRule="exact"/>
        <w:rPr>
          <w:rFonts w:ascii="黑体" w:hAnsi="黑体" w:eastAsia="黑体" w:cs="黑体"/>
          <w:sz w:val="32"/>
          <w:szCs w:val="32"/>
        </w:rPr>
      </w:pPr>
      <w:r>
        <w:rPr>
          <w:rFonts w:hint="eastAsia" w:ascii="黑体" w:hAnsi="黑体" w:eastAsia="黑体" w:cs="黑体"/>
          <w:sz w:val="32"/>
          <w:szCs w:val="32"/>
        </w:rPr>
        <w:t>附件1</w:t>
      </w:r>
    </w:p>
    <w:p>
      <w:pPr>
        <w:spacing w:afterLines="50" w:line="600" w:lineRule="exact"/>
        <w:jc w:val="center"/>
        <w:rPr>
          <w:rFonts w:ascii="方正小标宋简体" w:hAnsi="方正小标宋简体" w:eastAsia="方正小标宋简体" w:cs="方正小标宋简体"/>
          <w:sz w:val="24"/>
        </w:rPr>
      </w:pPr>
      <w:r>
        <w:rPr>
          <w:rFonts w:hint="eastAsia" w:ascii="方正小标宋简体" w:hAnsi="方正小标宋简体" w:eastAsia="方正小标宋简体" w:cs="方正小标宋简体"/>
          <w:sz w:val="36"/>
          <w:szCs w:val="36"/>
        </w:rPr>
        <w:t>2024年度部门整体支出绩效评价基础数据表</w:t>
      </w:r>
    </w:p>
    <w:tbl>
      <w:tblPr>
        <w:tblStyle w:val="7"/>
        <w:tblW w:w="9673" w:type="dxa"/>
        <w:jc w:val="center"/>
        <w:tblLayout w:type="fixed"/>
        <w:tblCellMar>
          <w:top w:w="0" w:type="dxa"/>
          <w:left w:w="108" w:type="dxa"/>
          <w:bottom w:w="0" w:type="dxa"/>
          <w:right w:w="108" w:type="dxa"/>
        </w:tblCellMar>
      </w:tblPr>
      <w:tblGrid>
        <w:gridCol w:w="3354"/>
        <w:gridCol w:w="1189"/>
        <w:gridCol w:w="849"/>
        <w:gridCol w:w="1129"/>
        <w:gridCol w:w="1111"/>
        <w:gridCol w:w="1081"/>
        <w:gridCol w:w="960"/>
      </w:tblGrid>
      <w:tr>
        <w:tblPrEx>
          <w:tblCellMar>
            <w:top w:w="0" w:type="dxa"/>
            <w:left w:w="108" w:type="dxa"/>
            <w:bottom w:w="0" w:type="dxa"/>
            <w:right w:w="108" w:type="dxa"/>
          </w:tblCellMar>
        </w:tblPrEx>
        <w:trPr>
          <w:jc w:val="center"/>
        </w:trPr>
        <w:tc>
          <w:tcPr>
            <w:tcW w:w="3354"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财政供养人员情况（人）</w:t>
            </w:r>
          </w:p>
        </w:tc>
        <w:tc>
          <w:tcPr>
            <w:tcW w:w="2038" w:type="dxa"/>
            <w:gridSpan w:val="2"/>
            <w:tcBorders>
              <w:top w:val="single" w:color="auto" w:sz="4" w:space="0"/>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b/>
                <w:bCs/>
                <w:sz w:val="20"/>
                <w:szCs w:val="20"/>
              </w:rPr>
            </w:pPr>
            <w:r>
              <w:rPr>
                <w:rFonts w:hint="eastAsia" w:ascii="仿宋_GB2312" w:hAnsi="仿宋_GB2312" w:eastAsia="仿宋_GB2312" w:cs="仿宋_GB2312"/>
                <w:b/>
                <w:bCs/>
                <w:sz w:val="20"/>
                <w:szCs w:val="20"/>
              </w:rPr>
              <w:t>编制数</w:t>
            </w:r>
          </w:p>
        </w:tc>
        <w:tc>
          <w:tcPr>
            <w:tcW w:w="2240" w:type="dxa"/>
            <w:gridSpan w:val="2"/>
            <w:tcBorders>
              <w:top w:val="single" w:color="auto" w:sz="4" w:space="0"/>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b/>
                <w:bCs/>
                <w:sz w:val="20"/>
                <w:szCs w:val="20"/>
              </w:rPr>
            </w:pPr>
            <w:r>
              <w:rPr>
                <w:rFonts w:hint="eastAsia" w:ascii="仿宋_GB2312" w:hAnsi="仿宋_GB2312" w:eastAsia="仿宋_GB2312" w:cs="仿宋_GB2312"/>
                <w:b/>
                <w:bCs/>
                <w:sz w:val="20"/>
                <w:szCs w:val="20"/>
              </w:rPr>
              <w:t>2024年实际在职人数</w:t>
            </w:r>
          </w:p>
        </w:tc>
        <w:tc>
          <w:tcPr>
            <w:tcW w:w="2041" w:type="dxa"/>
            <w:gridSpan w:val="2"/>
            <w:tcBorders>
              <w:top w:val="single" w:color="auto" w:sz="4" w:space="0"/>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b/>
                <w:bCs/>
                <w:sz w:val="20"/>
                <w:szCs w:val="20"/>
              </w:rPr>
            </w:pPr>
            <w:r>
              <w:rPr>
                <w:rFonts w:hint="eastAsia" w:ascii="仿宋_GB2312" w:hAnsi="仿宋_GB2312" w:eastAsia="仿宋_GB2312" w:cs="仿宋_GB2312"/>
                <w:b/>
                <w:bCs/>
                <w:sz w:val="20"/>
                <w:szCs w:val="20"/>
              </w:rPr>
              <w:t>控制率</w:t>
            </w:r>
          </w:p>
        </w:tc>
      </w:tr>
      <w:tr>
        <w:tblPrEx>
          <w:tblCellMar>
            <w:top w:w="0" w:type="dxa"/>
            <w:left w:w="108" w:type="dxa"/>
            <w:bottom w:w="0" w:type="dxa"/>
            <w:right w:w="108" w:type="dxa"/>
          </w:tblCellMar>
        </w:tblPrEx>
        <w:trPr>
          <w:jc w:val="center"/>
        </w:trPr>
        <w:tc>
          <w:tcPr>
            <w:tcW w:w="3354" w:type="dxa"/>
            <w:vMerge w:val="continue"/>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left"/>
              <w:rPr>
                <w:rFonts w:ascii="仿宋_GB2312" w:hAnsi="仿宋_GB2312" w:eastAsia="仿宋_GB2312" w:cs="仿宋_GB2312"/>
                <w:sz w:val="20"/>
                <w:szCs w:val="20"/>
              </w:rPr>
            </w:pPr>
          </w:p>
        </w:tc>
        <w:tc>
          <w:tcPr>
            <w:tcW w:w="2038" w:type="dxa"/>
            <w:gridSpan w:val="2"/>
            <w:tcBorders>
              <w:top w:val="single" w:color="auto" w:sz="4" w:space="0"/>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33</w:t>
            </w:r>
          </w:p>
        </w:tc>
        <w:tc>
          <w:tcPr>
            <w:tcW w:w="2240" w:type="dxa"/>
            <w:gridSpan w:val="2"/>
            <w:tcBorders>
              <w:top w:val="single" w:color="auto" w:sz="4" w:space="0"/>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30</w:t>
            </w:r>
          </w:p>
        </w:tc>
        <w:tc>
          <w:tcPr>
            <w:tcW w:w="2041" w:type="dxa"/>
            <w:gridSpan w:val="2"/>
            <w:tcBorders>
              <w:top w:val="single" w:color="auto" w:sz="4" w:space="0"/>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90.91%</w:t>
            </w:r>
          </w:p>
        </w:tc>
      </w:tr>
      <w:tr>
        <w:tblPrEx>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经费控制情况（万元）</w:t>
            </w:r>
          </w:p>
        </w:tc>
        <w:tc>
          <w:tcPr>
            <w:tcW w:w="2038"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b/>
                <w:bCs/>
                <w:sz w:val="20"/>
                <w:szCs w:val="20"/>
              </w:rPr>
            </w:pPr>
            <w:r>
              <w:rPr>
                <w:rFonts w:hint="eastAsia" w:ascii="仿宋_GB2312" w:hAnsi="仿宋_GB2312" w:eastAsia="仿宋_GB2312" w:cs="仿宋_GB2312"/>
                <w:b/>
                <w:bCs/>
                <w:sz w:val="20"/>
                <w:szCs w:val="20"/>
              </w:rPr>
              <w:t>2023年决算数</w:t>
            </w:r>
          </w:p>
        </w:tc>
        <w:tc>
          <w:tcPr>
            <w:tcW w:w="2240"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b/>
                <w:bCs/>
                <w:sz w:val="20"/>
                <w:szCs w:val="20"/>
              </w:rPr>
            </w:pPr>
            <w:r>
              <w:rPr>
                <w:rFonts w:hint="eastAsia" w:ascii="仿宋_GB2312" w:hAnsi="仿宋_GB2312" w:eastAsia="仿宋_GB2312" w:cs="仿宋_GB2312"/>
                <w:b/>
                <w:bCs/>
                <w:sz w:val="20"/>
                <w:szCs w:val="20"/>
              </w:rPr>
              <w:t>2024年预算数</w:t>
            </w:r>
          </w:p>
        </w:tc>
        <w:tc>
          <w:tcPr>
            <w:tcW w:w="2041"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b/>
                <w:bCs/>
                <w:sz w:val="20"/>
                <w:szCs w:val="20"/>
              </w:rPr>
            </w:pPr>
            <w:r>
              <w:rPr>
                <w:rFonts w:hint="eastAsia" w:ascii="仿宋_GB2312" w:hAnsi="仿宋_GB2312" w:eastAsia="仿宋_GB2312" w:cs="仿宋_GB2312"/>
                <w:b/>
                <w:bCs/>
                <w:sz w:val="20"/>
                <w:szCs w:val="20"/>
              </w:rPr>
              <w:t>2024年决算数</w:t>
            </w:r>
          </w:p>
        </w:tc>
      </w:tr>
      <w:tr>
        <w:trPr>
          <w:jc w:val="center"/>
        </w:trPr>
        <w:tc>
          <w:tcPr>
            <w:tcW w:w="3354" w:type="dxa"/>
            <w:tcBorders>
              <w:top w:val="nil"/>
              <w:left w:val="single" w:color="auto" w:sz="4" w:space="0"/>
              <w:bottom w:val="single" w:color="auto" w:sz="4" w:space="0"/>
              <w:right w:val="single" w:color="auto" w:sz="4" w:space="0"/>
            </w:tcBorders>
            <w:noWrap/>
            <w:vAlign w:val="center"/>
          </w:tcPr>
          <w:p>
            <w:pPr>
              <w:widowControl/>
              <w:spacing w:line="360" w:lineRule="exact"/>
              <w:jc w:val="left"/>
              <w:rPr>
                <w:rFonts w:ascii="仿宋_GB2312" w:hAnsi="仿宋_GB2312" w:eastAsia="仿宋_GB2312" w:cs="仿宋_GB2312"/>
                <w:sz w:val="20"/>
                <w:szCs w:val="20"/>
              </w:rPr>
            </w:pPr>
            <w:r>
              <w:rPr>
                <w:rFonts w:hint="eastAsia" w:ascii="仿宋_GB2312" w:hAnsi="仿宋_GB2312" w:eastAsia="仿宋_GB2312" w:cs="仿宋_GB2312"/>
                <w:sz w:val="20"/>
                <w:szCs w:val="20"/>
              </w:rPr>
              <w:t>三公经费</w:t>
            </w:r>
          </w:p>
        </w:tc>
        <w:tc>
          <w:tcPr>
            <w:tcW w:w="2038"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1.95</w:t>
            </w:r>
          </w:p>
        </w:tc>
        <w:tc>
          <w:tcPr>
            <w:tcW w:w="2240"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4.00</w:t>
            </w:r>
          </w:p>
        </w:tc>
        <w:tc>
          <w:tcPr>
            <w:tcW w:w="2041"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1.15</w:t>
            </w:r>
          </w:p>
        </w:tc>
      </w:tr>
      <w:tr>
        <w:tblPrEx>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cBorders>
            <w:noWrap/>
            <w:vAlign w:val="center"/>
          </w:tcPr>
          <w:p>
            <w:pPr>
              <w:widowControl/>
              <w:spacing w:line="360" w:lineRule="exact"/>
              <w:jc w:val="left"/>
              <w:rPr>
                <w:rFonts w:ascii="仿宋_GB2312" w:hAnsi="仿宋_GB2312" w:eastAsia="仿宋_GB2312" w:cs="仿宋_GB2312"/>
                <w:sz w:val="20"/>
                <w:szCs w:val="20"/>
              </w:rPr>
            </w:pPr>
            <w:r>
              <w:rPr>
                <w:rFonts w:hint="eastAsia" w:ascii="仿宋_GB2312" w:hAnsi="仿宋_GB2312" w:eastAsia="仿宋_GB2312" w:cs="仿宋_GB2312"/>
                <w:sz w:val="20"/>
                <w:szCs w:val="20"/>
              </w:rPr>
              <w:t xml:space="preserve">   1、公务用车购置和维护经费</w:t>
            </w:r>
          </w:p>
        </w:tc>
        <w:tc>
          <w:tcPr>
            <w:tcW w:w="2038"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0</w:t>
            </w:r>
          </w:p>
        </w:tc>
        <w:tc>
          <w:tcPr>
            <w:tcW w:w="2240"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0　</w:t>
            </w:r>
          </w:p>
        </w:tc>
        <w:tc>
          <w:tcPr>
            <w:tcW w:w="2041"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0</w:t>
            </w:r>
          </w:p>
        </w:tc>
      </w:tr>
      <w:tr>
        <w:tblPrEx>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cBorders>
            <w:noWrap/>
            <w:vAlign w:val="center"/>
          </w:tcPr>
          <w:p>
            <w:pPr>
              <w:widowControl/>
              <w:spacing w:line="360" w:lineRule="exact"/>
              <w:jc w:val="left"/>
              <w:rPr>
                <w:rFonts w:ascii="仿宋_GB2312" w:hAnsi="仿宋_GB2312" w:eastAsia="仿宋_GB2312" w:cs="仿宋_GB2312"/>
                <w:sz w:val="20"/>
                <w:szCs w:val="20"/>
              </w:rPr>
            </w:pPr>
            <w:r>
              <w:rPr>
                <w:rFonts w:hint="eastAsia" w:ascii="仿宋_GB2312" w:hAnsi="仿宋_GB2312" w:eastAsia="仿宋_GB2312" w:cs="仿宋_GB2312"/>
                <w:sz w:val="20"/>
                <w:szCs w:val="20"/>
              </w:rPr>
              <w:t xml:space="preserve">       其中：公车购置</w:t>
            </w:r>
          </w:p>
        </w:tc>
        <w:tc>
          <w:tcPr>
            <w:tcW w:w="2038"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0　</w:t>
            </w:r>
          </w:p>
        </w:tc>
        <w:tc>
          <w:tcPr>
            <w:tcW w:w="2240"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0　</w:t>
            </w:r>
          </w:p>
        </w:tc>
        <w:tc>
          <w:tcPr>
            <w:tcW w:w="2041"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0　</w:t>
            </w:r>
          </w:p>
        </w:tc>
      </w:tr>
      <w:tr>
        <w:tblPrEx>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cBorders>
            <w:noWrap/>
            <w:vAlign w:val="center"/>
          </w:tcPr>
          <w:p>
            <w:pPr>
              <w:widowControl/>
              <w:spacing w:line="360" w:lineRule="exact"/>
              <w:jc w:val="left"/>
              <w:rPr>
                <w:rFonts w:ascii="仿宋_GB2312" w:hAnsi="仿宋_GB2312" w:eastAsia="仿宋_GB2312" w:cs="仿宋_GB2312"/>
                <w:sz w:val="20"/>
                <w:szCs w:val="20"/>
              </w:rPr>
            </w:pPr>
            <w:r>
              <w:rPr>
                <w:rFonts w:hint="eastAsia" w:ascii="仿宋_GB2312" w:hAnsi="仿宋_GB2312" w:eastAsia="仿宋_GB2312" w:cs="仿宋_GB2312"/>
                <w:sz w:val="20"/>
                <w:szCs w:val="20"/>
              </w:rPr>
              <w:t xml:space="preserve">             公车运行维护</w:t>
            </w:r>
          </w:p>
        </w:tc>
        <w:tc>
          <w:tcPr>
            <w:tcW w:w="2038"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0　</w:t>
            </w:r>
          </w:p>
        </w:tc>
        <w:tc>
          <w:tcPr>
            <w:tcW w:w="2240"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0　</w:t>
            </w:r>
          </w:p>
        </w:tc>
        <w:tc>
          <w:tcPr>
            <w:tcW w:w="2041"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0　</w:t>
            </w:r>
          </w:p>
        </w:tc>
      </w:tr>
      <w:tr>
        <w:trPr>
          <w:jc w:val="center"/>
        </w:trPr>
        <w:tc>
          <w:tcPr>
            <w:tcW w:w="3354" w:type="dxa"/>
            <w:tcBorders>
              <w:top w:val="nil"/>
              <w:left w:val="single" w:color="auto" w:sz="4" w:space="0"/>
              <w:bottom w:val="single" w:color="auto" w:sz="4" w:space="0"/>
              <w:right w:val="single" w:color="auto" w:sz="4" w:space="0"/>
            </w:tcBorders>
            <w:noWrap/>
            <w:vAlign w:val="center"/>
          </w:tcPr>
          <w:p>
            <w:pPr>
              <w:widowControl/>
              <w:spacing w:line="360" w:lineRule="exact"/>
              <w:jc w:val="left"/>
              <w:rPr>
                <w:rFonts w:ascii="仿宋_GB2312" w:hAnsi="仿宋_GB2312" w:eastAsia="仿宋_GB2312" w:cs="仿宋_GB2312"/>
                <w:sz w:val="20"/>
                <w:szCs w:val="20"/>
              </w:rPr>
            </w:pPr>
            <w:r>
              <w:rPr>
                <w:rFonts w:hint="eastAsia" w:ascii="仿宋_GB2312" w:hAnsi="仿宋_GB2312" w:eastAsia="仿宋_GB2312" w:cs="仿宋_GB2312"/>
                <w:sz w:val="20"/>
                <w:szCs w:val="20"/>
              </w:rPr>
              <w:t xml:space="preserve">   2、出国经费</w:t>
            </w:r>
          </w:p>
        </w:tc>
        <w:tc>
          <w:tcPr>
            <w:tcW w:w="2038"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0　</w:t>
            </w:r>
          </w:p>
        </w:tc>
        <w:tc>
          <w:tcPr>
            <w:tcW w:w="2240"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0　</w:t>
            </w:r>
          </w:p>
        </w:tc>
        <w:tc>
          <w:tcPr>
            <w:tcW w:w="2041"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0　</w:t>
            </w:r>
          </w:p>
        </w:tc>
      </w:tr>
      <w:tr>
        <w:tblPrEx>
          <w:tblCellMar>
            <w:top w:w="0" w:type="dxa"/>
            <w:left w:w="108" w:type="dxa"/>
            <w:bottom w:w="0" w:type="dxa"/>
            <w:right w:w="108" w:type="dxa"/>
          </w:tblCellMar>
        </w:tblPrEx>
        <w:trPr>
          <w:trHeight w:val="90" w:hRule="atLeast"/>
          <w:jc w:val="center"/>
        </w:trPr>
        <w:tc>
          <w:tcPr>
            <w:tcW w:w="3354" w:type="dxa"/>
            <w:tcBorders>
              <w:top w:val="nil"/>
              <w:left w:val="single" w:color="auto" w:sz="4" w:space="0"/>
              <w:bottom w:val="single" w:color="auto" w:sz="4" w:space="0"/>
              <w:right w:val="single" w:color="auto" w:sz="4" w:space="0"/>
            </w:tcBorders>
            <w:noWrap/>
            <w:vAlign w:val="center"/>
          </w:tcPr>
          <w:p>
            <w:pPr>
              <w:widowControl/>
              <w:spacing w:line="360" w:lineRule="exact"/>
              <w:jc w:val="left"/>
              <w:rPr>
                <w:rFonts w:ascii="仿宋_GB2312" w:hAnsi="仿宋_GB2312" w:eastAsia="仿宋_GB2312" w:cs="仿宋_GB2312"/>
                <w:sz w:val="20"/>
                <w:szCs w:val="20"/>
              </w:rPr>
            </w:pPr>
            <w:r>
              <w:rPr>
                <w:rFonts w:hint="eastAsia" w:ascii="仿宋_GB2312" w:hAnsi="仿宋_GB2312" w:eastAsia="仿宋_GB2312" w:cs="仿宋_GB2312"/>
                <w:sz w:val="20"/>
                <w:szCs w:val="20"/>
              </w:rPr>
              <w:t xml:space="preserve">   3、公务接待</w:t>
            </w:r>
          </w:p>
        </w:tc>
        <w:tc>
          <w:tcPr>
            <w:tcW w:w="2038"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1.95</w:t>
            </w:r>
          </w:p>
        </w:tc>
        <w:tc>
          <w:tcPr>
            <w:tcW w:w="2240"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4.00</w:t>
            </w:r>
          </w:p>
        </w:tc>
        <w:tc>
          <w:tcPr>
            <w:tcW w:w="2041"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1.15</w:t>
            </w:r>
          </w:p>
        </w:tc>
      </w:tr>
      <w:tr>
        <w:tblPrEx>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cBorders>
            <w:noWrap/>
            <w:vAlign w:val="center"/>
          </w:tcPr>
          <w:p>
            <w:pPr>
              <w:widowControl/>
              <w:spacing w:line="360" w:lineRule="exact"/>
              <w:jc w:val="left"/>
              <w:rPr>
                <w:rFonts w:ascii="仿宋_GB2312" w:hAnsi="仿宋_GB2312" w:eastAsia="仿宋_GB2312" w:cs="仿宋_GB2312"/>
                <w:sz w:val="20"/>
                <w:szCs w:val="20"/>
              </w:rPr>
            </w:pPr>
            <w:r>
              <w:rPr>
                <w:rFonts w:hint="eastAsia" w:ascii="仿宋_GB2312" w:hAnsi="仿宋_GB2312" w:eastAsia="仿宋_GB2312" w:cs="仿宋_GB2312"/>
                <w:sz w:val="20"/>
                <w:szCs w:val="20"/>
              </w:rPr>
              <w:t>项目支出：</w:t>
            </w:r>
          </w:p>
        </w:tc>
        <w:tc>
          <w:tcPr>
            <w:tcW w:w="2038"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531.61</w:t>
            </w:r>
          </w:p>
        </w:tc>
        <w:tc>
          <w:tcPr>
            <w:tcW w:w="2240"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1537.97</w:t>
            </w:r>
          </w:p>
        </w:tc>
        <w:tc>
          <w:tcPr>
            <w:tcW w:w="2041"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1418.3</w:t>
            </w:r>
          </w:p>
        </w:tc>
      </w:tr>
      <w:tr>
        <w:tblPrEx>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cBorders>
            <w:noWrap/>
            <w:vAlign w:val="center"/>
          </w:tcPr>
          <w:p>
            <w:pPr>
              <w:widowControl/>
              <w:spacing w:line="360" w:lineRule="exact"/>
              <w:jc w:val="left"/>
              <w:rPr>
                <w:rFonts w:ascii="仿宋_GB2312" w:hAnsi="仿宋_GB2312" w:eastAsia="仿宋_GB2312" w:cs="仿宋_GB2312"/>
                <w:sz w:val="20"/>
                <w:szCs w:val="20"/>
              </w:rPr>
            </w:pPr>
            <w:r>
              <w:rPr>
                <w:rFonts w:hint="eastAsia" w:ascii="仿宋_GB2312" w:hAnsi="仿宋_GB2312" w:eastAsia="仿宋_GB2312" w:cs="仿宋_GB2312"/>
                <w:sz w:val="20"/>
                <w:szCs w:val="20"/>
              </w:rPr>
              <w:t xml:space="preserve">    1、业务工作经费</w:t>
            </w:r>
          </w:p>
        </w:tc>
        <w:tc>
          <w:tcPr>
            <w:tcW w:w="2038"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469.11　</w:t>
            </w:r>
          </w:p>
        </w:tc>
        <w:tc>
          <w:tcPr>
            <w:tcW w:w="2240"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409.47</w:t>
            </w:r>
          </w:p>
        </w:tc>
        <w:tc>
          <w:tcPr>
            <w:tcW w:w="2041"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289.8</w:t>
            </w:r>
          </w:p>
        </w:tc>
      </w:tr>
      <w:tr>
        <w:tblPrEx>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cBorders>
            <w:noWrap/>
            <w:vAlign w:val="center"/>
          </w:tcPr>
          <w:p>
            <w:pPr>
              <w:widowControl/>
              <w:spacing w:line="360" w:lineRule="exact"/>
              <w:jc w:val="left"/>
              <w:rPr>
                <w:rFonts w:ascii="仿宋_GB2312" w:hAnsi="仿宋_GB2312" w:eastAsia="仿宋_GB2312" w:cs="仿宋_GB2312"/>
                <w:sz w:val="20"/>
                <w:szCs w:val="20"/>
              </w:rPr>
            </w:pPr>
            <w:r>
              <w:rPr>
                <w:rFonts w:hint="eastAsia" w:ascii="仿宋_GB2312" w:hAnsi="仿宋_GB2312" w:eastAsia="仿宋_GB2312" w:cs="仿宋_GB2312"/>
                <w:sz w:val="20"/>
                <w:szCs w:val="20"/>
              </w:rPr>
              <w:t xml:space="preserve">    2、</w:t>
            </w:r>
            <w:r>
              <w:rPr>
                <w:rFonts w:hint="eastAsia" w:ascii="仿宋_GB2312" w:hAnsi="仿宋_GB2312" w:eastAsia="仿宋_GB2312" w:cs="仿宋_GB2312"/>
                <w:color w:val="000000"/>
                <w:sz w:val="20"/>
                <w:szCs w:val="20"/>
              </w:rPr>
              <w:t>组织专项</w:t>
            </w:r>
          </w:p>
        </w:tc>
        <w:tc>
          <w:tcPr>
            <w:tcW w:w="2038"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62.5　</w:t>
            </w:r>
          </w:p>
        </w:tc>
        <w:tc>
          <w:tcPr>
            <w:tcW w:w="2240"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170.9</w:t>
            </w:r>
          </w:p>
        </w:tc>
        <w:tc>
          <w:tcPr>
            <w:tcW w:w="2041"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170.9</w:t>
            </w:r>
          </w:p>
        </w:tc>
      </w:tr>
      <w:tr>
        <w:tblPrEx>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3、</w:t>
            </w:r>
            <w:r>
              <w:rPr>
                <w:rFonts w:hint="eastAsia" w:ascii="仿宋_GB2312" w:hAnsi="仿宋_GB2312" w:eastAsia="仿宋_GB2312" w:cs="仿宋_GB2312"/>
                <w:color w:val="000000"/>
                <w:sz w:val="20"/>
                <w:szCs w:val="20"/>
              </w:rPr>
              <w:t>村级运转保障经费</w:t>
            </w:r>
          </w:p>
        </w:tc>
        <w:tc>
          <w:tcPr>
            <w:tcW w:w="2038"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p>
        </w:tc>
        <w:tc>
          <w:tcPr>
            <w:tcW w:w="2240"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613.8</w:t>
            </w:r>
          </w:p>
        </w:tc>
        <w:tc>
          <w:tcPr>
            <w:tcW w:w="2041"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613.8</w:t>
            </w:r>
          </w:p>
        </w:tc>
      </w:tr>
      <w:tr>
        <w:tblPrEx>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4、社区运转保障经费</w:t>
            </w:r>
          </w:p>
        </w:tc>
        <w:tc>
          <w:tcPr>
            <w:tcW w:w="2038"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p>
        </w:tc>
        <w:tc>
          <w:tcPr>
            <w:tcW w:w="2240"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343.8</w:t>
            </w:r>
          </w:p>
        </w:tc>
        <w:tc>
          <w:tcPr>
            <w:tcW w:w="2041"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343.8</w:t>
            </w:r>
          </w:p>
        </w:tc>
      </w:tr>
      <w:tr>
        <w:tblPrEx>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cBorders>
            <w:noWrap/>
            <w:vAlign w:val="center"/>
          </w:tcPr>
          <w:p>
            <w:pPr>
              <w:widowControl/>
              <w:spacing w:line="360" w:lineRule="exact"/>
              <w:jc w:val="left"/>
              <w:rPr>
                <w:rFonts w:ascii="仿宋_GB2312" w:hAnsi="仿宋_GB2312" w:eastAsia="仿宋_GB2312" w:cs="仿宋_GB2312"/>
                <w:sz w:val="20"/>
                <w:szCs w:val="20"/>
              </w:rPr>
            </w:pPr>
            <w:r>
              <w:rPr>
                <w:rFonts w:hint="eastAsia" w:ascii="仿宋_GB2312" w:hAnsi="仿宋_GB2312" w:eastAsia="仿宋_GB2312" w:cs="仿宋_GB2312"/>
                <w:sz w:val="20"/>
                <w:szCs w:val="20"/>
              </w:rPr>
              <w:t>3、市级专项资金（一个专项一行）</w:t>
            </w:r>
          </w:p>
        </w:tc>
        <w:tc>
          <w:tcPr>
            <w:tcW w:w="2038"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　</w:t>
            </w:r>
          </w:p>
        </w:tc>
        <w:tc>
          <w:tcPr>
            <w:tcW w:w="2240"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　</w:t>
            </w:r>
          </w:p>
        </w:tc>
        <w:tc>
          <w:tcPr>
            <w:tcW w:w="2041"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　</w:t>
            </w:r>
          </w:p>
        </w:tc>
      </w:tr>
      <w:tr>
        <w:tblPrEx>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w:t>
            </w:r>
          </w:p>
        </w:tc>
        <w:tc>
          <w:tcPr>
            <w:tcW w:w="2038"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p>
        </w:tc>
        <w:tc>
          <w:tcPr>
            <w:tcW w:w="2240"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p>
        </w:tc>
        <w:tc>
          <w:tcPr>
            <w:tcW w:w="2041"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p>
        </w:tc>
      </w:tr>
      <w:tr>
        <w:tblPrEx>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cBorders>
            <w:noWrap/>
            <w:vAlign w:val="center"/>
          </w:tcPr>
          <w:p>
            <w:pPr>
              <w:widowControl/>
              <w:spacing w:line="360" w:lineRule="exact"/>
              <w:jc w:val="left"/>
              <w:rPr>
                <w:rFonts w:ascii="仿宋_GB2312" w:hAnsi="仿宋_GB2312" w:eastAsia="仿宋_GB2312" w:cs="仿宋_GB2312"/>
                <w:sz w:val="20"/>
                <w:szCs w:val="20"/>
              </w:rPr>
            </w:pPr>
            <w:r>
              <w:rPr>
                <w:rFonts w:hint="eastAsia" w:ascii="仿宋_GB2312" w:hAnsi="仿宋_GB2312" w:eastAsia="仿宋_GB2312" w:cs="仿宋_GB2312"/>
                <w:sz w:val="20"/>
                <w:szCs w:val="20"/>
              </w:rPr>
              <w:t>公用经费</w:t>
            </w:r>
          </w:p>
        </w:tc>
        <w:tc>
          <w:tcPr>
            <w:tcW w:w="2038"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66.69</w:t>
            </w:r>
          </w:p>
        </w:tc>
        <w:tc>
          <w:tcPr>
            <w:tcW w:w="2240"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57.3</w:t>
            </w:r>
          </w:p>
        </w:tc>
        <w:tc>
          <w:tcPr>
            <w:tcW w:w="2041"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57.3</w:t>
            </w:r>
          </w:p>
        </w:tc>
      </w:tr>
      <w:tr>
        <w:tblPrEx>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cBorders>
            <w:noWrap/>
            <w:vAlign w:val="center"/>
          </w:tcPr>
          <w:p>
            <w:pPr>
              <w:widowControl/>
              <w:spacing w:line="360" w:lineRule="exact"/>
              <w:jc w:val="left"/>
              <w:rPr>
                <w:rFonts w:ascii="仿宋_GB2312" w:hAnsi="仿宋_GB2312" w:eastAsia="仿宋_GB2312" w:cs="仿宋_GB2312"/>
                <w:sz w:val="20"/>
                <w:szCs w:val="20"/>
              </w:rPr>
            </w:pPr>
            <w:r>
              <w:rPr>
                <w:rFonts w:hint="eastAsia" w:ascii="仿宋_GB2312" w:hAnsi="仿宋_GB2312" w:eastAsia="仿宋_GB2312" w:cs="仿宋_GB2312"/>
                <w:sz w:val="20"/>
                <w:szCs w:val="20"/>
              </w:rPr>
              <w:t xml:space="preserve">    其中：办公经费</w:t>
            </w:r>
          </w:p>
        </w:tc>
        <w:tc>
          <w:tcPr>
            <w:tcW w:w="2038"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29.30</w:t>
            </w:r>
          </w:p>
        </w:tc>
        <w:tc>
          <w:tcPr>
            <w:tcW w:w="2240"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9.6</w:t>
            </w:r>
          </w:p>
        </w:tc>
        <w:tc>
          <w:tcPr>
            <w:tcW w:w="2041"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9.6</w:t>
            </w:r>
          </w:p>
        </w:tc>
      </w:tr>
      <w:tr>
        <w:tblPrEx>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cBorders>
            <w:noWrap/>
            <w:vAlign w:val="center"/>
          </w:tcPr>
          <w:p>
            <w:pPr>
              <w:widowControl/>
              <w:spacing w:line="360" w:lineRule="exact"/>
              <w:jc w:val="left"/>
              <w:rPr>
                <w:rFonts w:ascii="仿宋_GB2312" w:hAnsi="仿宋_GB2312" w:eastAsia="仿宋_GB2312" w:cs="仿宋_GB2312"/>
                <w:sz w:val="20"/>
                <w:szCs w:val="20"/>
              </w:rPr>
            </w:pPr>
            <w:r>
              <w:rPr>
                <w:rFonts w:hint="eastAsia" w:ascii="仿宋_GB2312" w:hAnsi="仿宋_GB2312" w:eastAsia="仿宋_GB2312" w:cs="仿宋_GB2312"/>
                <w:sz w:val="20"/>
                <w:szCs w:val="20"/>
              </w:rPr>
              <w:t xml:space="preserve">          水费、电费、差旅费</w:t>
            </w:r>
          </w:p>
        </w:tc>
        <w:tc>
          <w:tcPr>
            <w:tcW w:w="2038"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0</w:t>
            </w:r>
          </w:p>
        </w:tc>
        <w:tc>
          <w:tcPr>
            <w:tcW w:w="2240"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0</w:t>
            </w:r>
          </w:p>
        </w:tc>
        <w:tc>
          <w:tcPr>
            <w:tcW w:w="2041"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0</w:t>
            </w:r>
          </w:p>
        </w:tc>
      </w:tr>
      <w:tr>
        <w:tblPrEx>
          <w:tblCellMar>
            <w:top w:w="0" w:type="dxa"/>
            <w:left w:w="108" w:type="dxa"/>
            <w:bottom w:w="0" w:type="dxa"/>
            <w:right w:w="108" w:type="dxa"/>
          </w:tblCellMar>
        </w:tblPrEx>
        <w:trPr>
          <w:trHeight w:val="90" w:hRule="atLeast"/>
          <w:jc w:val="center"/>
        </w:trPr>
        <w:tc>
          <w:tcPr>
            <w:tcW w:w="3354" w:type="dxa"/>
            <w:tcBorders>
              <w:top w:val="nil"/>
              <w:left w:val="single" w:color="auto" w:sz="4" w:space="0"/>
              <w:bottom w:val="single" w:color="auto" w:sz="4" w:space="0"/>
              <w:right w:val="single" w:color="auto" w:sz="4" w:space="0"/>
            </w:tcBorders>
            <w:noWrap/>
            <w:vAlign w:val="center"/>
          </w:tcPr>
          <w:p>
            <w:pPr>
              <w:widowControl/>
              <w:spacing w:line="360" w:lineRule="exact"/>
              <w:jc w:val="left"/>
              <w:rPr>
                <w:rFonts w:ascii="仿宋_GB2312" w:hAnsi="仿宋_GB2312" w:eastAsia="仿宋_GB2312" w:cs="仿宋_GB2312"/>
                <w:sz w:val="20"/>
                <w:szCs w:val="20"/>
              </w:rPr>
            </w:pPr>
            <w:r>
              <w:rPr>
                <w:rFonts w:hint="eastAsia" w:ascii="仿宋_GB2312" w:hAnsi="仿宋_GB2312" w:eastAsia="仿宋_GB2312" w:cs="仿宋_GB2312"/>
                <w:sz w:val="20"/>
                <w:szCs w:val="20"/>
              </w:rPr>
              <w:t xml:space="preserve">          会议费、培训费</w:t>
            </w:r>
          </w:p>
        </w:tc>
        <w:tc>
          <w:tcPr>
            <w:tcW w:w="2038"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6.59</w:t>
            </w:r>
          </w:p>
        </w:tc>
        <w:tc>
          <w:tcPr>
            <w:tcW w:w="2240"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1.15</w:t>
            </w:r>
          </w:p>
        </w:tc>
        <w:tc>
          <w:tcPr>
            <w:tcW w:w="2041"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1.15</w:t>
            </w:r>
          </w:p>
        </w:tc>
      </w:tr>
      <w:tr>
        <w:tblPrEx>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cBorders>
            <w:noWrap/>
            <w:vAlign w:val="center"/>
          </w:tcPr>
          <w:p>
            <w:pPr>
              <w:widowControl/>
              <w:spacing w:line="360" w:lineRule="exact"/>
              <w:jc w:val="left"/>
              <w:rPr>
                <w:rFonts w:ascii="仿宋_GB2312" w:hAnsi="仿宋_GB2312" w:eastAsia="仿宋_GB2312" w:cs="仿宋_GB2312"/>
                <w:sz w:val="20"/>
                <w:szCs w:val="20"/>
              </w:rPr>
            </w:pPr>
            <w:r>
              <w:rPr>
                <w:rFonts w:hint="eastAsia" w:ascii="仿宋_GB2312" w:hAnsi="仿宋_GB2312" w:eastAsia="仿宋_GB2312" w:cs="仿宋_GB2312"/>
                <w:sz w:val="20"/>
                <w:szCs w:val="20"/>
              </w:rPr>
              <w:t>政府采购金额</w:t>
            </w:r>
          </w:p>
        </w:tc>
        <w:tc>
          <w:tcPr>
            <w:tcW w:w="2038"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66.84</w:t>
            </w:r>
          </w:p>
        </w:tc>
        <w:tc>
          <w:tcPr>
            <w:tcW w:w="2240"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86.5</w:t>
            </w:r>
          </w:p>
        </w:tc>
        <w:tc>
          <w:tcPr>
            <w:tcW w:w="2041"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86.5</w:t>
            </w:r>
          </w:p>
        </w:tc>
      </w:tr>
      <w:tr>
        <w:tblPrEx>
          <w:tblCellMar>
            <w:top w:w="0" w:type="dxa"/>
            <w:left w:w="108" w:type="dxa"/>
            <w:bottom w:w="0" w:type="dxa"/>
            <w:right w:w="108" w:type="dxa"/>
          </w:tblCellMar>
        </w:tblPrEx>
        <w:trPr>
          <w:trHeight w:val="90" w:hRule="atLeast"/>
          <w:jc w:val="center"/>
        </w:trPr>
        <w:tc>
          <w:tcPr>
            <w:tcW w:w="3354" w:type="dxa"/>
            <w:tcBorders>
              <w:top w:val="nil"/>
              <w:left w:val="single" w:color="auto" w:sz="4" w:space="0"/>
              <w:bottom w:val="single" w:color="auto" w:sz="4" w:space="0"/>
              <w:right w:val="single" w:color="auto" w:sz="4" w:space="0"/>
            </w:tcBorders>
            <w:noWrap/>
            <w:vAlign w:val="center"/>
          </w:tcPr>
          <w:p>
            <w:pPr>
              <w:widowControl/>
              <w:spacing w:line="360" w:lineRule="exact"/>
              <w:jc w:val="left"/>
              <w:rPr>
                <w:rFonts w:ascii="仿宋_GB2312" w:hAnsi="仿宋_GB2312" w:eastAsia="仿宋_GB2312" w:cs="仿宋_GB2312"/>
                <w:sz w:val="20"/>
                <w:szCs w:val="20"/>
              </w:rPr>
            </w:pPr>
            <w:r>
              <w:rPr>
                <w:rFonts w:hint="eastAsia" w:ascii="仿宋_GB2312" w:hAnsi="仿宋_GB2312" w:eastAsia="仿宋_GB2312" w:cs="仿宋_GB2312"/>
                <w:sz w:val="20"/>
                <w:szCs w:val="20"/>
              </w:rPr>
              <w:t xml:space="preserve">部门基本支出预算调整 </w:t>
            </w:r>
          </w:p>
        </w:tc>
        <w:tc>
          <w:tcPr>
            <w:tcW w:w="2038"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color w:val="000000"/>
                <w:sz w:val="20"/>
                <w:szCs w:val="20"/>
              </w:rPr>
              <w:t>637.88</w:t>
            </w:r>
            <w:r>
              <w:rPr>
                <w:rFonts w:hint="eastAsia" w:ascii="仿宋_GB2312" w:hAnsi="仿宋_GB2312" w:eastAsia="仿宋_GB2312" w:cs="仿宋_GB2312"/>
                <w:sz w:val="20"/>
                <w:szCs w:val="20"/>
              </w:rPr>
              <w:t>　</w:t>
            </w:r>
          </w:p>
        </w:tc>
        <w:tc>
          <w:tcPr>
            <w:tcW w:w="2240"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color w:val="000000"/>
                <w:sz w:val="20"/>
                <w:szCs w:val="20"/>
              </w:rPr>
              <w:t>582.52</w:t>
            </w:r>
          </w:p>
        </w:tc>
        <w:tc>
          <w:tcPr>
            <w:tcW w:w="2041" w:type="dxa"/>
            <w:gridSpan w:val="2"/>
            <w:tcBorders>
              <w:top w:val="single" w:color="auto" w:sz="4" w:space="0"/>
              <w:left w:val="nil"/>
              <w:bottom w:val="single" w:color="auto" w:sz="4" w:space="0"/>
              <w:right w:val="single" w:color="000000"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color w:val="000000"/>
                <w:sz w:val="20"/>
                <w:szCs w:val="20"/>
              </w:rPr>
              <w:t>582.52</w:t>
            </w:r>
          </w:p>
        </w:tc>
      </w:tr>
      <w:tr>
        <w:tblPrEx>
          <w:tblCellMar>
            <w:top w:w="0" w:type="dxa"/>
            <w:left w:w="108" w:type="dxa"/>
            <w:bottom w:w="0" w:type="dxa"/>
            <w:right w:w="108" w:type="dxa"/>
          </w:tblCellMar>
        </w:tblPrEx>
        <w:trPr>
          <w:jc w:val="center"/>
        </w:trPr>
        <w:tc>
          <w:tcPr>
            <w:tcW w:w="3354" w:type="dxa"/>
            <w:vMerge w:val="restart"/>
            <w:tcBorders>
              <w:top w:val="nil"/>
              <w:left w:val="single" w:color="auto" w:sz="4" w:space="0"/>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楼堂馆所控制情况</w:t>
            </w:r>
            <w:r>
              <w:rPr>
                <w:rFonts w:hint="eastAsia" w:ascii="仿宋_GB2312" w:hAnsi="仿宋_GB2312" w:eastAsia="仿宋_GB2312" w:cs="仿宋_GB2312"/>
                <w:sz w:val="20"/>
                <w:szCs w:val="20"/>
              </w:rPr>
              <w:br w:type="textWrapping"/>
            </w:r>
            <w:r>
              <w:rPr>
                <w:rFonts w:hint="eastAsia" w:ascii="仿宋_GB2312" w:hAnsi="仿宋_GB2312" w:eastAsia="仿宋_GB2312" w:cs="仿宋_GB2312"/>
                <w:sz w:val="20"/>
                <w:szCs w:val="20"/>
              </w:rPr>
              <w:t>（2024年完工项目）</w:t>
            </w:r>
          </w:p>
        </w:tc>
        <w:tc>
          <w:tcPr>
            <w:tcW w:w="1189"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bCs/>
                <w:sz w:val="20"/>
                <w:szCs w:val="20"/>
              </w:rPr>
            </w:pPr>
            <w:r>
              <w:rPr>
                <w:rFonts w:hint="eastAsia" w:ascii="仿宋_GB2312" w:hAnsi="仿宋_GB2312" w:eastAsia="仿宋_GB2312" w:cs="仿宋_GB2312"/>
                <w:bCs/>
                <w:sz w:val="20"/>
                <w:szCs w:val="20"/>
              </w:rPr>
              <w:t>批复规模</w:t>
            </w:r>
            <w:r>
              <w:rPr>
                <w:rFonts w:hint="eastAsia" w:ascii="仿宋_GB2312" w:hAnsi="仿宋_GB2312" w:eastAsia="仿宋_GB2312" w:cs="仿宋_GB2312"/>
                <w:bCs/>
                <w:sz w:val="20"/>
                <w:szCs w:val="20"/>
              </w:rPr>
              <w:br w:type="textWrapping"/>
            </w:r>
            <w:r>
              <w:rPr>
                <w:rFonts w:hint="eastAsia" w:ascii="仿宋_GB2312" w:hAnsi="仿宋_GB2312" w:eastAsia="仿宋_GB2312" w:cs="仿宋_GB2312"/>
                <w:bCs/>
                <w:sz w:val="20"/>
                <w:szCs w:val="20"/>
              </w:rPr>
              <w:t>（㎡）</w:t>
            </w:r>
          </w:p>
        </w:tc>
        <w:tc>
          <w:tcPr>
            <w:tcW w:w="849"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bCs/>
                <w:sz w:val="20"/>
                <w:szCs w:val="20"/>
              </w:rPr>
            </w:pPr>
            <w:r>
              <w:rPr>
                <w:rFonts w:hint="eastAsia" w:ascii="仿宋_GB2312" w:hAnsi="仿宋_GB2312" w:eastAsia="仿宋_GB2312" w:cs="仿宋_GB2312"/>
                <w:bCs/>
                <w:sz w:val="20"/>
                <w:szCs w:val="20"/>
              </w:rPr>
              <w:t>实际规模（㎡）</w:t>
            </w:r>
          </w:p>
        </w:tc>
        <w:tc>
          <w:tcPr>
            <w:tcW w:w="1129"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bCs/>
                <w:sz w:val="20"/>
                <w:szCs w:val="20"/>
              </w:rPr>
            </w:pPr>
            <w:r>
              <w:rPr>
                <w:rFonts w:hint="eastAsia" w:ascii="仿宋_GB2312" w:hAnsi="仿宋_GB2312" w:eastAsia="仿宋_GB2312" w:cs="仿宋_GB2312"/>
                <w:bCs/>
                <w:sz w:val="20"/>
                <w:szCs w:val="20"/>
              </w:rPr>
              <w:t>规模控制率</w:t>
            </w:r>
          </w:p>
        </w:tc>
        <w:tc>
          <w:tcPr>
            <w:tcW w:w="1111"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bCs/>
                <w:sz w:val="20"/>
                <w:szCs w:val="20"/>
              </w:rPr>
            </w:pPr>
            <w:r>
              <w:rPr>
                <w:rFonts w:hint="eastAsia" w:ascii="仿宋_GB2312" w:hAnsi="仿宋_GB2312" w:eastAsia="仿宋_GB2312" w:cs="仿宋_GB2312"/>
                <w:bCs/>
                <w:sz w:val="20"/>
                <w:szCs w:val="20"/>
              </w:rPr>
              <w:t>预算投资（万元）</w:t>
            </w:r>
          </w:p>
        </w:tc>
        <w:tc>
          <w:tcPr>
            <w:tcW w:w="1081"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bCs/>
                <w:sz w:val="20"/>
                <w:szCs w:val="20"/>
              </w:rPr>
            </w:pPr>
            <w:r>
              <w:rPr>
                <w:rFonts w:hint="eastAsia" w:ascii="仿宋_GB2312" w:hAnsi="仿宋_GB2312" w:eastAsia="仿宋_GB2312" w:cs="仿宋_GB2312"/>
                <w:bCs/>
                <w:sz w:val="20"/>
                <w:szCs w:val="20"/>
              </w:rPr>
              <w:t>实际投资（万元）</w:t>
            </w:r>
          </w:p>
        </w:tc>
        <w:tc>
          <w:tcPr>
            <w:tcW w:w="960"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bCs/>
                <w:sz w:val="20"/>
                <w:szCs w:val="20"/>
              </w:rPr>
            </w:pPr>
            <w:r>
              <w:rPr>
                <w:rFonts w:hint="eastAsia" w:ascii="仿宋_GB2312" w:hAnsi="仿宋_GB2312" w:eastAsia="仿宋_GB2312" w:cs="仿宋_GB2312"/>
                <w:bCs/>
                <w:sz w:val="20"/>
                <w:szCs w:val="20"/>
              </w:rPr>
              <w:t>投资概算控制率</w:t>
            </w:r>
          </w:p>
        </w:tc>
      </w:tr>
      <w:tr>
        <w:tblPrEx>
          <w:tblCellMar>
            <w:top w:w="0" w:type="dxa"/>
            <w:left w:w="108" w:type="dxa"/>
            <w:bottom w:w="0" w:type="dxa"/>
            <w:right w:w="108" w:type="dxa"/>
          </w:tblCellMar>
        </w:tblPrEx>
        <w:trPr>
          <w:jc w:val="center"/>
        </w:trPr>
        <w:tc>
          <w:tcPr>
            <w:tcW w:w="3354" w:type="dxa"/>
            <w:vMerge w:val="continue"/>
            <w:tcBorders>
              <w:top w:val="nil"/>
              <w:left w:val="single" w:color="auto" w:sz="4" w:space="0"/>
              <w:bottom w:val="single" w:color="auto" w:sz="4" w:space="0"/>
              <w:right w:val="single" w:color="auto" w:sz="4" w:space="0"/>
            </w:tcBorders>
            <w:noWrap/>
            <w:vAlign w:val="center"/>
          </w:tcPr>
          <w:p>
            <w:pPr>
              <w:widowControl/>
              <w:spacing w:line="360" w:lineRule="exact"/>
              <w:jc w:val="left"/>
              <w:rPr>
                <w:rFonts w:ascii="仿宋_GB2312" w:hAnsi="仿宋_GB2312" w:eastAsia="仿宋_GB2312" w:cs="仿宋_GB2312"/>
                <w:sz w:val="20"/>
                <w:szCs w:val="20"/>
              </w:rPr>
            </w:pPr>
          </w:p>
        </w:tc>
        <w:tc>
          <w:tcPr>
            <w:tcW w:w="1189" w:type="dxa"/>
            <w:tcBorders>
              <w:top w:val="nil"/>
              <w:left w:val="nil"/>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　</w:t>
            </w:r>
          </w:p>
        </w:tc>
        <w:tc>
          <w:tcPr>
            <w:tcW w:w="849" w:type="dxa"/>
            <w:tcBorders>
              <w:top w:val="nil"/>
              <w:left w:val="nil"/>
              <w:bottom w:val="single" w:color="auto" w:sz="4" w:space="0"/>
              <w:right w:val="single" w:color="auto" w:sz="4" w:space="0"/>
            </w:tcBorders>
            <w:noWrap/>
            <w:vAlign w:val="center"/>
          </w:tcPr>
          <w:p>
            <w:pPr>
              <w:widowControl/>
              <w:spacing w:line="360" w:lineRule="exact"/>
              <w:jc w:val="left"/>
              <w:rPr>
                <w:rFonts w:ascii="仿宋_GB2312" w:hAnsi="仿宋_GB2312" w:eastAsia="仿宋_GB2312" w:cs="仿宋_GB2312"/>
                <w:sz w:val="20"/>
                <w:szCs w:val="20"/>
              </w:rPr>
            </w:pPr>
            <w:r>
              <w:rPr>
                <w:rFonts w:hint="eastAsia" w:ascii="仿宋_GB2312" w:hAnsi="仿宋_GB2312" w:eastAsia="仿宋_GB2312" w:cs="仿宋_GB2312"/>
                <w:sz w:val="20"/>
                <w:szCs w:val="20"/>
              </w:rPr>
              <w:t>　</w:t>
            </w:r>
          </w:p>
        </w:tc>
        <w:tc>
          <w:tcPr>
            <w:tcW w:w="1129" w:type="dxa"/>
            <w:tcBorders>
              <w:top w:val="nil"/>
              <w:left w:val="nil"/>
              <w:bottom w:val="single" w:color="auto" w:sz="4" w:space="0"/>
              <w:right w:val="single" w:color="auto" w:sz="4" w:space="0"/>
            </w:tcBorders>
            <w:noWrap/>
            <w:vAlign w:val="center"/>
          </w:tcPr>
          <w:p>
            <w:pPr>
              <w:widowControl/>
              <w:spacing w:line="360" w:lineRule="exact"/>
              <w:jc w:val="left"/>
              <w:rPr>
                <w:rFonts w:ascii="仿宋_GB2312" w:hAnsi="仿宋_GB2312" w:eastAsia="仿宋_GB2312" w:cs="仿宋_GB2312"/>
                <w:sz w:val="20"/>
                <w:szCs w:val="20"/>
              </w:rPr>
            </w:pPr>
            <w:r>
              <w:rPr>
                <w:rFonts w:hint="eastAsia" w:ascii="仿宋_GB2312" w:hAnsi="仿宋_GB2312" w:eastAsia="仿宋_GB2312" w:cs="仿宋_GB2312"/>
                <w:sz w:val="20"/>
                <w:szCs w:val="20"/>
              </w:rPr>
              <w:t>　</w:t>
            </w:r>
          </w:p>
        </w:tc>
        <w:tc>
          <w:tcPr>
            <w:tcW w:w="1111" w:type="dxa"/>
            <w:tcBorders>
              <w:top w:val="nil"/>
              <w:left w:val="nil"/>
              <w:bottom w:val="single" w:color="auto" w:sz="4" w:space="0"/>
              <w:right w:val="single" w:color="auto" w:sz="4" w:space="0"/>
            </w:tcBorders>
            <w:noWrap/>
            <w:vAlign w:val="center"/>
          </w:tcPr>
          <w:p>
            <w:pPr>
              <w:widowControl/>
              <w:spacing w:line="360" w:lineRule="exact"/>
              <w:jc w:val="left"/>
              <w:rPr>
                <w:rFonts w:ascii="仿宋_GB2312" w:hAnsi="仿宋_GB2312" w:eastAsia="仿宋_GB2312" w:cs="仿宋_GB2312"/>
                <w:sz w:val="20"/>
                <w:szCs w:val="20"/>
              </w:rPr>
            </w:pPr>
            <w:r>
              <w:rPr>
                <w:rFonts w:hint="eastAsia" w:ascii="仿宋_GB2312" w:hAnsi="仿宋_GB2312" w:eastAsia="仿宋_GB2312" w:cs="仿宋_GB2312"/>
                <w:sz w:val="20"/>
                <w:szCs w:val="20"/>
              </w:rPr>
              <w:t>　</w:t>
            </w:r>
          </w:p>
        </w:tc>
        <w:tc>
          <w:tcPr>
            <w:tcW w:w="1081" w:type="dxa"/>
            <w:tcBorders>
              <w:top w:val="nil"/>
              <w:left w:val="nil"/>
              <w:bottom w:val="single" w:color="auto" w:sz="4" w:space="0"/>
              <w:right w:val="single" w:color="auto" w:sz="4" w:space="0"/>
            </w:tcBorders>
            <w:noWrap/>
            <w:vAlign w:val="center"/>
          </w:tcPr>
          <w:p>
            <w:pPr>
              <w:widowControl/>
              <w:spacing w:line="360" w:lineRule="exact"/>
              <w:jc w:val="left"/>
              <w:rPr>
                <w:rFonts w:ascii="仿宋_GB2312" w:hAnsi="仿宋_GB2312" w:eastAsia="仿宋_GB2312" w:cs="仿宋_GB2312"/>
                <w:sz w:val="20"/>
                <w:szCs w:val="20"/>
              </w:rPr>
            </w:pPr>
            <w:r>
              <w:rPr>
                <w:rFonts w:hint="eastAsia" w:ascii="仿宋_GB2312" w:hAnsi="仿宋_GB2312" w:eastAsia="仿宋_GB2312" w:cs="仿宋_GB2312"/>
                <w:sz w:val="20"/>
                <w:szCs w:val="20"/>
              </w:rPr>
              <w:t>　</w:t>
            </w:r>
          </w:p>
        </w:tc>
        <w:tc>
          <w:tcPr>
            <w:tcW w:w="960" w:type="dxa"/>
            <w:tcBorders>
              <w:top w:val="nil"/>
              <w:left w:val="nil"/>
              <w:bottom w:val="single" w:color="auto" w:sz="4" w:space="0"/>
              <w:right w:val="single" w:color="auto" w:sz="4" w:space="0"/>
            </w:tcBorders>
            <w:noWrap/>
            <w:vAlign w:val="center"/>
          </w:tcPr>
          <w:p>
            <w:pPr>
              <w:widowControl/>
              <w:spacing w:line="360" w:lineRule="exact"/>
              <w:jc w:val="left"/>
              <w:rPr>
                <w:rFonts w:ascii="仿宋_GB2312" w:hAnsi="仿宋_GB2312" w:eastAsia="仿宋_GB2312" w:cs="仿宋_GB2312"/>
                <w:sz w:val="20"/>
                <w:szCs w:val="20"/>
              </w:rPr>
            </w:pPr>
            <w:r>
              <w:rPr>
                <w:rFonts w:hint="eastAsia" w:ascii="仿宋_GB2312" w:hAnsi="仿宋_GB2312" w:eastAsia="仿宋_GB2312" w:cs="仿宋_GB2312"/>
                <w:sz w:val="20"/>
                <w:szCs w:val="20"/>
              </w:rPr>
              <w:t>　</w:t>
            </w:r>
          </w:p>
        </w:tc>
      </w:tr>
      <w:tr>
        <w:tblPrEx>
          <w:tblCellMar>
            <w:top w:w="0" w:type="dxa"/>
            <w:left w:w="108" w:type="dxa"/>
            <w:bottom w:w="0" w:type="dxa"/>
            <w:right w:w="108" w:type="dxa"/>
          </w:tblCellMar>
        </w:tblPrEx>
        <w:trPr>
          <w:jc w:val="center"/>
        </w:trPr>
        <w:tc>
          <w:tcPr>
            <w:tcW w:w="3354" w:type="dxa"/>
            <w:tcBorders>
              <w:top w:val="nil"/>
              <w:left w:val="single" w:color="auto" w:sz="4" w:space="0"/>
              <w:bottom w:val="single" w:color="auto" w:sz="4" w:space="0"/>
              <w:right w:val="single" w:color="auto" w:sz="4" w:space="0"/>
            </w:tcBorders>
            <w:noWrap/>
            <w:vAlign w:val="center"/>
          </w:tcPr>
          <w:p>
            <w:pPr>
              <w:widowControl/>
              <w:spacing w:line="3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厉行节约保障措施</w:t>
            </w:r>
          </w:p>
        </w:tc>
        <w:tc>
          <w:tcPr>
            <w:tcW w:w="6319" w:type="dxa"/>
            <w:gridSpan w:val="6"/>
            <w:tcBorders>
              <w:top w:val="single" w:color="auto" w:sz="4" w:space="0"/>
              <w:left w:val="nil"/>
              <w:bottom w:val="single" w:color="auto" w:sz="4" w:space="0"/>
              <w:right w:val="single" w:color="000000" w:sz="4" w:space="0"/>
            </w:tcBorders>
            <w:noWrap/>
            <w:vAlign w:val="center"/>
          </w:tcPr>
          <w:p>
            <w:pPr>
              <w:widowControl/>
              <w:spacing w:line="360" w:lineRule="exact"/>
              <w:jc w:val="left"/>
              <w:rPr>
                <w:rFonts w:ascii="仿宋_GB2312" w:hAnsi="仿宋_GB2312" w:eastAsia="仿宋_GB2312" w:cs="仿宋_GB2312"/>
                <w:sz w:val="20"/>
                <w:szCs w:val="20"/>
              </w:rPr>
            </w:pPr>
            <w:r>
              <w:rPr>
                <w:rFonts w:hint="eastAsia" w:ascii="仿宋_GB2312" w:hAnsi="仿宋_GB2312" w:eastAsia="仿宋_GB2312" w:cs="仿宋_GB2312"/>
                <w:sz w:val="20"/>
                <w:szCs w:val="20"/>
              </w:rPr>
              <w:t>深入贯彻落实中央八项规定及其实施细则特神，严格控制“三公”经费开支，严禁超范围、超标准开支，践行精细化管理理念，加强绩效化管理，推进绩效评价结果与预算挂钩，严防资金低效使用，确保财力有效转化为保障力。　　</w:t>
            </w:r>
          </w:p>
        </w:tc>
      </w:tr>
    </w:tbl>
    <w:p>
      <w:pPr>
        <w:widowControl/>
        <w:spacing w:line="400" w:lineRule="exact"/>
        <w:jc w:val="left"/>
        <w:rPr>
          <w:rFonts w:ascii="Times New Roman" w:hAnsi="Times New Roman" w:eastAsia="仿宋_GB2312"/>
          <w:sz w:val="22"/>
        </w:rPr>
      </w:pPr>
      <w:r>
        <w:rPr>
          <w:rFonts w:ascii="Times New Roman" w:hAnsi="Times New Roman" w:eastAsia="仿宋_GB2312"/>
          <w:sz w:val="22"/>
        </w:rPr>
        <w:t>说明：“项目支出”需要填报基本支出以外的所有项目支出情况，“公用经费”填报基本支出中的一般商品和服务支出。</w:t>
      </w:r>
    </w:p>
    <w:p>
      <w:pPr>
        <w:widowControl/>
        <w:spacing w:line="400" w:lineRule="exact"/>
        <w:jc w:val="left"/>
        <w:rPr>
          <w:rFonts w:ascii="Times New Roman" w:hAnsi="Times New Roman" w:eastAsia="仿宋_GB2312"/>
          <w:sz w:val="22"/>
        </w:rPr>
      </w:pPr>
    </w:p>
    <w:p>
      <w:pPr>
        <w:widowControl/>
        <w:spacing w:line="400" w:lineRule="exact"/>
        <w:jc w:val="left"/>
        <w:rPr>
          <w:rFonts w:ascii="黑体" w:hAnsi="黑体" w:eastAsia="黑体" w:cs="黑体"/>
          <w:sz w:val="28"/>
          <w:szCs w:val="28"/>
        </w:rPr>
      </w:pPr>
      <w:r>
        <w:rPr>
          <w:rFonts w:ascii="Times New Roman" w:hAnsi="Times New Roman" w:eastAsia="仿宋_GB2312"/>
          <w:sz w:val="21"/>
          <w:szCs w:val="22"/>
        </w:rPr>
        <w:t>填表人：</w:t>
      </w:r>
      <w:r>
        <w:rPr>
          <w:rFonts w:hint="eastAsia" w:ascii="Times New Roman" w:hAnsi="Times New Roman" w:eastAsia="仿宋_GB2312"/>
          <w:sz w:val="21"/>
          <w:szCs w:val="22"/>
          <w:lang w:eastAsia="zh-CN"/>
        </w:rPr>
        <w:t>邓凡超</w:t>
      </w:r>
      <w:r>
        <w:rPr>
          <w:rFonts w:ascii="Times New Roman" w:hAnsi="Times New Roman" w:eastAsia="仿宋_GB2312"/>
          <w:sz w:val="21"/>
          <w:szCs w:val="22"/>
        </w:rPr>
        <w:t xml:space="preserve"> 填报日期：</w:t>
      </w:r>
      <w:r>
        <w:rPr>
          <w:rFonts w:hint="eastAsia" w:ascii="Times New Roman" w:hAnsi="Times New Roman" w:eastAsia="仿宋_GB2312"/>
          <w:sz w:val="21"/>
          <w:szCs w:val="22"/>
          <w:lang w:val="en-US" w:eastAsia="zh-CN"/>
        </w:rPr>
        <w:t>2025-5-15</w:t>
      </w:r>
      <w:r>
        <w:rPr>
          <w:rFonts w:ascii="Times New Roman" w:hAnsi="Times New Roman" w:eastAsia="仿宋_GB2312"/>
          <w:sz w:val="21"/>
          <w:szCs w:val="22"/>
        </w:rPr>
        <w:t>联系电话：</w:t>
      </w:r>
      <w:r>
        <w:rPr>
          <w:rFonts w:hint="eastAsia" w:ascii="Times New Roman" w:hAnsi="Times New Roman" w:eastAsia="仿宋_GB2312"/>
          <w:sz w:val="21"/>
          <w:szCs w:val="22"/>
          <w:lang w:val="en-US" w:eastAsia="zh-CN"/>
        </w:rPr>
        <w:t xml:space="preserve">19174099995 </w:t>
      </w:r>
      <w:r>
        <w:rPr>
          <w:rFonts w:ascii="Times New Roman" w:hAnsi="Times New Roman" w:eastAsia="仿宋_GB2312"/>
          <w:sz w:val="21"/>
          <w:szCs w:val="22"/>
        </w:rPr>
        <w:t xml:space="preserve"> 单位负责人签字：</w:t>
      </w:r>
      <w:r>
        <w:rPr>
          <w:rFonts w:hint="eastAsia" w:ascii="Times New Roman" w:hAnsi="Times New Roman" w:eastAsia="仿宋_GB2312"/>
          <w:sz w:val="21"/>
          <w:szCs w:val="22"/>
          <w:lang w:eastAsia="zh-CN"/>
        </w:rPr>
        <w:t>张新文</w:t>
      </w:r>
      <w:r>
        <w:rPr>
          <w:rFonts w:ascii="Times New Roman" w:hAnsi="Times New Roman" w:eastAsia="仿宋_GB2312"/>
          <w:sz w:val="21"/>
          <w:szCs w:val="22"/>
        </w:rPr>
        <w:br w:type="page"/>
      </w:r>
    </w:p>
    <w:p>
      <w:pPr>
        <w:widowControl/>
        <w:spacing w:afterLines="50"/>
        <w:jc w:val="center"/>
        <w:rPr>
          <w:rFonts w:ascii="方正小标宋简体" w:hAnsi="方正小标宋简体" w:eastAsia="方正小标宋简体" w:cs="方正小标宋简体"/>
          <w:color w:val="000000"/>
          <w:sz w:val="36"/>
          <w:szCs w:val="36"/>
        </w:rPr>
      </w:pPr>
      <w:r>
        <w:rPr>
          <w:rFonts w:hint="eastAsia" w:ascii="方正小标宋简体" w:hAnsi="方正小标宋简体" w:eastAsia="方正小标宋简体" w:cs="方正小标宋简体"/>
          <w:color w:val="000000"/>
          <w:sz w:val="36"/>
          <w:szCs w:val="36"/>
        </w:rPr>
        <w:t>2024年度部门整体支出绩效自评表</w:t>
      </w:r>
    </w:p>
    <w:tbl>
      <w:tblPr>
        <w:tblStyle w:val="7"/>
        <w:tblW w:w="10088" w:type="dxa"/>
        <w:jc w:val="center"/>
        <w:tblLayout w:type="fixed"/>
        <w:tblCellMar>
          <w:top w:w="0" w:type="dxa"/>
          <w:left w:w="108" w:type="dxa"/>
          <w:bottom w:w="0" w:type="dxa"/>
          <w:right w:w="108" w:type="dxa"/>
        </w:tblCellMar>
      </w:tblPr>
      <w:tblGrid>
        <w:gridCol w:w="1080"/>
        <w:gridCol w:w="1080"/>
        <w:gridCol w:w="1073"/>
        <w:gridCol w:w="1909"/>
        <w:gridCol w:w="1343"/>
        <w:gridCol w:w="1372"/>
        <w:gridCol w:w="621"/>
        <w:gridCol w:w="643"/>
        <w:gridCol w:w="967"/>
      </w:tblGrid>
      <w:tr>
        <w:tblPrEx>
          <w:tblCellMar>
            <w:top w:w="0" w:type="dxa"/>
            <w:left w:w="108" w:type="dxa"/>
            <w:bottom w:w="0" w:type="dxa"/>
            <w:right w:w="108" w:type="dxa"/>
          </w:tblCellMar>
        </w:tblPrEx>
        <w:trPr>
          <w:trHeight w:val="515" w:hRule="atLeast"/>
          <w:jc w:val="center"/>
        </w:trPr>
        <w:tc>
          <w:tcPr>
            <w:tcW w:w="1080"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市级预算部门名称</w:t>
            </w:r>
          </w:p>
        </w:tc>
        <w:tc>
          <w:tcPr>
            <w:tcW w:w="9008" w:type="dxa"/>
            <w:gridSpan w:val="8"/>
            <w:tcBorders>
              <w:top w:val="single" w:color="auto" w:sz="4" w:space="0"/>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中共岳阳市君山区委组织部</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年度预</w:t>
            </w:r>
          </w:p>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算申请</w:t>
            </w:r>
            <w:r>
              <w:rPr>
                <w:rFonts w:hint="eastAsia" w:ascii="仿宋_GB2312" w:hAnsi="仿宋_GB2312" w:eastAsia="仿宋_GB2312" w:cs="仿宋_GB2312"/>
                <w:color w:val="000000"/>
                <w:sz w:val="20"/>
                <w:szCs w:val="20"/>
              </w:rPr>
              <w:br w:type="textWrapping"/>
            </w:r>
            <w:r>
              <w:rPr>
                <w:rFonts w:hint="eastAsia" w:ascii="仿宋_GB2312" w:hAnsi="仿宋_GB2312" w:eastAsia="仿宋_GB2312" w:cs="仿宋_GB2312"/>
                <w:color w:val="000000"/>
                <w:sz w:val="20"/>
                <w:szCs w:val="20"/>
              </w:rPr>
              <w:t>（万元）</w:t>
            </w:r>
          </w:p>
        </w:tc>
        <w:tc>
          <w:tcPr>
            <w:tcW w:w="2153" w:type="dxa"/>
            <w:gridSpan w:val="2"/>
            <w:tcBorders>
              <w:top w:val="nil"/>
              <w:left w:val="nil"/>
              <w:bottom w:val="single" w:color="auto" w:sz="4" w:space="0"/>
              <w:right w:val="single" w:color="auto" w:sz="4" w:space="0"/>
            </w:tcBorders>
            <w:noWrap/>
            <w:vAlign w:val="center"/>
          </w:tcPr>
          <w:p>
            <w:pPr>
              <w:spacing w:line="240" w:lineRule="exact"/>
              <w:jc w:val="center"/>
              <w:rPr>
                <w:rFonts w:ascii="仿宋_GB2312" w:hAnsi="仿宋_GB2312" w:eastAsia="仿宋_GB2312" w:cs="仿宋_GB2312"/>
                <w:sz w:val="20"/>
                <w:szCs w:val="20"/>
              </w:rPr>
            </w:pPr>
          </w:p>
        </w:tc>
        <w:tc>
          <w:tcPr>
            <w:tcW w:w="1909" w:type="dxa"/>
            <w:tcBorders>
              <w:top w:val="nil"/>
              <w:left w:val="nil"/>
              <w:bottom w:val="single" w:color="auto" w:sz="4" w:space="0"/>
              <w:right w:val="single" w:color="auto" w:sz="4" w:space="0"/>
            </w:tcBorders>
            <w:noWrap/>
            <w:vAlign w:val="center"/>
          </w:tcPr>
          <w:p>
            <w:pPr>
              <w:spacing w:line="2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年初预算数</w:t>
            </w:r>
          </w:p>
        </w:tc>
        <w:tc>
          <w:tcPr>
            <w:tcW w:w="1343" w:type="dxa"/>
            <w:tcBorders>
              <w:top w:val="nil"/>
              <w:left w:val="nil"/>
              <w:bottom w:val="single" w:color="auto" w:sz="4" w:space="0"/>
              <w:right w:val="single" w:color="auto" w:sz="4" w:space="0"/>
            </w:tcBorders>
            <w:noWrap/>
            <w:vAlign w:val="center"/>
          </w:tcPr>
          <w:p>
            <w:pPr>
              <w:spacing w:line="2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全年预算数</w:t>
            </w:r>
          </w:p>
        </w:tc>
        <w:tc>
          <w:tcPr>
            <w:tcW w:w="1372" w:type="dxa"/>
            <w:tcBorders>
              <w:top w:val="nil"/>
              <w:left w:val="nil"/>
              <w:bottom w:val="single" w:color="auto" w:sz="4" w:space="0"/>
              <w:right w:val="single" w:color="auto" w:sz="4" w:space="0"/>
            </w:tcBorders>
            <w:noWrap/>
            <w:vAlign w:val="center"/>
          </w:tcPr>
          <w:p>
            <w:pPr>
              <w:spacing w:line="2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全年执行数</w:t>
            </w:r>
          </w:p>
        </w:tc>
        <w:tc>
          <w:tcPr>
            <w:tcW w:w="621" w:type="dxa"/>
            <w:tcBorders>
              <w:top w:val="nil"/>
              <w:left w:val="nil"/>
              <w:bottom w:val="single" w:color="auto" w:sz="4" w:space="0"/>
              <w:right w:val="single" w:color="auto" w:sz="4" w:space="0"/>
            </w:tcBorders>
            <w:noWrap/>
            <w:vAlign w:val="center"/>
          </w:tcPr>
          <w:p>
            <w:pPr>
              <w:spacing w:line="2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分值</w:t>
            </w:r>
          </w:p>
        </w:tc>
        <w:tc>
          <w:tcPr>
            <w:tcW w:w="643" w:type="dxa"/>
            <w:tcBorders>
              <w:top w:val="nil"/>
              <w:left w:val="nil"/>
              <w:bottom w:val="single" w:color="auto" w:sz="4" w:space="0"/>
              <w:right w:val="single" w:color="auto" w:sz="4" w:space="0"/>
            </w:tcBorders>
            <w:noWrap/>
            <w:vAlign w:val="center"/>
          </w:tcPr>
          <w:p>
            <w:pPr>
              <w:spacing w:line="2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执行率</w:t>
            </w:r>
          </w:p>
        </w:tc>
        <w:tc>
          <w:tcPr>
            <w:tcW w:w="967" w:type="dxa"/>
            <w:tcBorders>
              <w:top w:val="nil"/>
              <w:left w:val="nil"/>
              <w:bottom w:val="single" w:color="auto" w:sz="4" w:space="0"/>
              <w:right w:val="single" w:color="auto" w:sz="4" w:space="0"/>
            </w:tcBorders>
            <w:noWrap/>
            <w:vAlign w:val="center"/>
          </w:tcPr>
          <w:p>
            <w:pPr>
              <w:spacing w:line="2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得分</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p>
        </w:tc>
        <w:tc>
          <w:tcPr>
            <w:tcW w:w="2153" w:type="dxa"/>
            <w:gridSpan w:val="2"/>
            <w:tcBorders>
              <w:top w:val="nil"/>
              <w:left w:val="nil"/>
              <w:bottom w:val="single" w:color="auto" w:sz="4" w:space="0"/>
              <w:right w:val="single" w:color="auto" w:sz="4" w:space="0"/>
            </w:tcBorders>
            <w:noWrap/>
            <w:vAlign w:val="center"/>
          </w:tcPr>
          <w:p>
            <w:pPr>
              <w:spacing w:line="240" w:lineRule="exact"/>
              <w:jc w:val="center"/>
              <w:rPr>
                <w:rFonts w:ascii="仿宋_GB2312" w:hAnsi="仿宋_GB2312" w:eastAsia="仿宋_GB2312" w:cs="仿宋_GB2312"/>
                <w:sz w:val="20"/>
                <w:szCs w:val="20"/>
              </w:rPr>
            </w:pPr>
            <w:r>
              <w:rPr>
                <w:rFonts w:hint="eastAsia" w:ascii="仿宋_GB2312" w:hAnsi="仿宋_GB2312" w:eastAsia="仿宋_GB2312" w:cs="仿宋_GB2312"/>
                <w:color w:val="000000"/>
                <w:sz w:val="20"/>
                <w:szCs w:val="20"/>
              </w:rPr>
              <w:t>年度资金总额</w:t>
            </w:r>
          </w:p>
        </w:tc>
        <w:tc>
          <w:tcPr>
            <w:tcW w:w="1909" w:type="dxa"/>
            <w:tcBorders>
              <w:top w:val="nil"/>
              <w:left w:val="nil"/>
              <w:bottom w:val="single" w:color="auto" w:sz="4" w:space="0"/>
              <w:right w:val="single" w:color="auto" w:sz="4" w:space="0"/>
            </w:tcBorders>
            <w:noWrap/>
            <w:vAlign w:val="center"/>
          </w:tcPr>
          <w:p>
            <w:pPr>
              <w:spacing w:line="2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1667.27</w:t>
            </w:r>
          </w:p>
        </w:tc>
        <w:tc>
          <w:tcPr>
            <w:tcW w:w="1343" w:type="dxa"/>
            <w:tcBorders>
              <w:top w:val="nil"/>
              <w:left w:val="nil"/>
              <w:bottom w:val="single" w:color="auto" w:sz="4" w:space="0"/>
              <w:right w:val="single" w:color="auto" w:sz="4" w:space="0"/>
            </w:tcBorders>
            <w:noWrap/>
            <w:vAlign w:val="center"/>
          </w:tcPr>
          <w:p>
            <w:pPr>
              <w:spacing w:line="2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2120.49</w:t>
            </w:r>
          </w:p>
        </w:tc>
        <w:tc>
          <w:tcPr>
            <w:tcW w:w="1372" w:type="dxa"/>
            <w:tcBorders>
              <w:top w:val="nil"/>
              <w:left w:val="nil"/>
              <w:bottom w:val="single" w:color="auto" w:sz="4" w:space="0"/>
              <w:right w:val="single" w:color="auto" w:sz="4" w:space="0"/>
            </w:tcBorders>
            <w:noWrap/>
            <w:vAlign w:val="center"/>
          </w:tcPr>
          <w:p>
            <w:pPr>
              <w:spacing w:line="2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2000.82</w:t>
            </w:r>
          </w:p>
        </w:tc>
        <w:tc>
          <w:tcPr>
            <w:tcW w:w="621" w:type="dxa"/>
            <w:tcBorders>
              <w:top w:val="nil"/>
              <w:left w:val="nil"/>
              <w:bottom w:val="single" w:color="auto" w:sz="4" w:space="0"/>
              <w:right w:val="single" w:color="auto" w:sz="4" w:space="0"/>
            </w:tcBorders>
            <w:noWrap/>
            <w:vAlign w:val="center"/>
          </w:tcPr>
          <w:p>
            <w:pPr>
              <w:spacing w:line="2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10</w:t>
            </w:r>
          </w:p>
        </w:tc>
        <w:tc>
          <w:tcPr>
            <w:tcW w:w="643" w:type="dxa"/>
            <w:tcBorders>
              <w:top w:val="nil"/>
              <w:left w:val="nil"/>
              <w:bottom w:val="single" w:color="auto" w:sz="4" w:space="0"/>
              <w:right w:val="single" w:color="auto" w:sz="4" w:space="0"/>
            </w:tcBorders>
            <w:noWrap/>
            <w:vAlign w:val="center"/>
          </w:tcPr>
          <w:p>
            <w:pPr>
              <w:spacing w:line="2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94.36%</w:t>
            </w:r>
          </w:p>
        </w:tc>
        <w:tc>
          <w:tcPr>
            <w:tcW w:w="967" w:type="dxa"/>
            <w:tcBorders>
              <w:top w:val="nil"/>
              <w:left w:val="nil"/>
              <w:bottom w:val="single" w:color="auto" w:sz="4" w:space="0"/>
              <w:right w:val="single" w:color="auto" w:sz="4" w:space="0"/>
            </w:tcBorders>
            <w:noWrap/>
            <w:vAlign w:val="center"/>
          </w:tcPr>
          <w:p>
            <w:pPr>
              <w:spacing w:line="24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9.44</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p>
        </w:tc>
        <w:tc>
          <w:tcPr>
            <w:tcW w:w="5405" w:type="dxa"/>
            <w:gridSpan w:val="4"/>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按收入性质分：</w:t>
            </w:r>
          </w:p>
        </w:tc>
        <w:tc>
          <w:tcPr>
            <w:tcW w:w="3603" w:type="dxa"/>
            <w:gridSpan w:val="4"/>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按支出性质分：</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p>
        </w:tc>
        <w:tc>
          <w:tcPr>
            <w:tcW w:w="5405" w:type="dxa"/>
            <w:gridSpan w:val="4"/>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xml:space="preserve">  其中：  一般公共预算：</w:t>
            </w:r>
            <w:r>
              <w:rPr>
                <w:rFonts w:hint="eastAsia" w:ascii="仿宋_GB2312" w:hAnsi="仿宋_GB2312" w:eastAsia="仿宋_GB2312" w:cs="仿宋_GB2312"/>
                <w:sz w:val="20"/>
                <w:szCs w:val="20"/>
              </w:rPr>
              <w:t>1881.63</w:t>
            </w:r>
          </w:p>
        </w:tc>
        <w:tc>
          <w:tcPr>
            <w:tcW w:w="3603" w:type="dxa"/>
            <w:gridSpan w:val="4"/>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其中：基本支出：582.52</w:t>
            </w:r>
          </w:p>
        </w:tc>
      </w:tr>
      <w:tr>
        <w:tblPrEx>
          <w:tblCellMar>
            <w:top w:w="0" w:type="dxa"/>
            <w:left w:w="108" w:type="dxa"/>
            <w:bottom w:w="0" w:type="dxa"/>
            <w:right w:w="108" w:type="dxa"/>
          </w:tblCellMar>
        </w:tblPrEx>
        <w:trPr>
          <w:trHeight w:val="235" w:hRule="atLeast"/>
          <w:jc w:val="center"/>
        </w:trPr>
        <w:tc>
          <w:tcPr>
            <w:tcW w:w="1080" w:type="dxa"/>
            <w:vMerge w:val="continue"/>
            <w:tcBorders>
              <w:left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p>
        </w:tc>
        <w:tc>
          <w:tcPr>
            <w:tcW w:w="5405" w:type="dxa"/>
            <w:gridSpan w:val="4"/>
            <w:tcBorders>
              <w:top w:val="nil"/>
              <w:left w:val="nil"/>
              <w:bottom w:val="single" w:color="auto" w:sz="4" w:space="0"/>
              <w:right w:val="single" w:color="auto" w:sz="4" w:space="0"/>
            </w:tcBorders>
            <w:noWrap/>
            <w:vAlign w:val="center"/>
          </w:tcPr>
          <w:p>
            <w:pPr>
              <w:widowControl/>
              <w:spacing w:line="240" w:lineRule="exact"/>
              <w:ind w:firstLine="800" w:firstLineChars="400"/>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政府性基金拨款：</w:t>
            </w:r>
          </w:p>
        </w:tc>
        <w:tc>
          <w:tcPr>
            <w:tcW w:w="3603" w:type="dxa"/>
            <w:gridSpan w:val="4"/>
            <w:tcBorders>
              <w:top w:val="nil"/>
              <w:left w:val="nil"/>
              <w:bottom w:val="single" w:color="auto" w:sz="4" w:space="0"/>
              <w:right w:val="single" w:color="auto" w:sz="4" w:space="0"/>
            </w:tcBorders>
            <w:noWrap/>
            <w:vAlign w:val="center"/>
          </w:tcPr>
          <w:p>
            <w:pPr>
              <w:widowControl/>
              <w:spacing w:line="240" w:lineRule="exact"/>
              <w:ind w:firstLine="600" w:firstLineChars="300"/>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项目支出：1418.3</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p>
        </w:tc>
        <w:tc>
          <w:tcPr>
            <w:tcW w:w="5405" w:type="dxa"/>
            <w:gridSpan w:val="4"/>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纳入专户管理的非税收入拨款：</w:t>
            </w:r>
          </w:p>
        </w:tc>
        <w:tc>
          <w:tcPr>
            <w:tcW w:w="3603" w:type="dxa"/>
            <w:gridSpan w:val="4"/>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p>
        </w:tc>
      </w:tr>
      <w:tr>
        <w:tblPrEx>
          <w:tblCellMar>
            <w:top w:w="0" w:type="dxa"/>
            <w:left w:w="108" w:type="dxa"/>
            <w:bottom w:w="0" w:type="dxa"/>
            <w:right w:w="108" w:type="dxa"/>
          </w:tblCellMar>
        </w:tblPrEx>
        <w:trPr>
          <w:jc w:val="center"/>
        </w:trPr>
        <w:tc>
          <w:tcPr>
            <w:tcW w:w="1080" w:type="dxa"/>
            <w:vMerge w:val="continue"/>
            <w:tcBorders>
              <w:left w:val="single" w:color="auto" w:sz="4" w:space="0"/>
              <w:bottom w:val="single" w:color="000000"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p>
        </w:tc>
        <w:tc>
          <w:tcPr>
            <w:tcW w:w="5405" w:type="dxa"/>
            <w:gridSpan w:val="4"/>
            <w:tcBorders>
              <w:top w:val="nil"/>
              <w:left w:val="nil"/>
              <w:bottom w:val="single" w:color="auto" w:sz="4" w:space="0"/>
              <w:right w:val="single" w:color="auto" w:sz="4" w:space="0"/>
            </w:tcBorders>
            <w:noWrap/>
            <w:vAlign w:val="center"/>
          </w:tcPr>
          <w:p>
            <w:pPr>
              <w:widowControl/>
              <w:spacing w:line="240" w:lineRule="exact"/>
              <w:ind w:firstLine="1400" w:firstLineChars="700"/>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其他资金：119.19</w:t>
            </w:r>
          </w:p>
        </w:tc>
        <w:tc>
          <w:tcPr>
            <w:tcW w:w="3603" w:type="dxa"/>
            <w:gridSpan w:val="4"/>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bottom w:val="single" w:color="000000"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年度总体目标</w:t>
            </w:r>
          </w:p>
        </w:tc>
        <w:tc>
          <w:tcPr>
            <w:tcW w:w="5405" w:type="dxa"/>
            <w:gridSpan w:val="4"/>
            <w:tcBorders>
              <w:top w:val="single" w:color="auto" w:sz="4" w:space="0"/>
              <w:left w:val="nil"/>
              <w:bottom w:val="single" w:color="auto" w:sz="4" w:space="0"/>
              <w:right w:val="single" w:color="000000"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预期目标</w:t>
            </w:r>
          </w:p>
        </w:tc>
        <w:tc>
          <w:tcPr>
            <w:tcW w:w="3603" w:type="dxa"/>
            <w:gridSpan w:val="4"/>
            <w:tcBorders>
              <w:top w:val="single" w:color="auto" w:sz="4" w:space="0"/>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实际完成情况　</w:t>
            </w:r>
          </w:p>
        </w:tc>
      </w:tr>
      <w:tr>
        <w:tblPrEx>
          <w:tblCellMar>
            <w:top w:w="0" w:type="dxa"/>
            <w:left w:w="108" w:type="dxa"/>
            <w:bottom w:w="0" w:type="dxa"/>
            <w:right w:w="108" w:type="dxa"/>
          </w:tblCellMar>
        </w:tblPrEx>
        <w:trPr>
          <w:trHeight w:val="1292" w:hRule="atLeast"/>
          <w:jc w:val="center"/>
        </w:trPr>
        <w:tc>
          <w:tcPr>
            <w:tcW w:w="1080" w:type="dxa"/>
            <w:vMerge w:val="continue"/>
            <w:tcBorders>
              <w:top w:val="nil"/>
              <w:left w:val="single" w:color="auto" w:sz="4" w:space="0"/>
              <w:bottom w:val="single" w:color="000000"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p>
        </w:tc>
        <w:tc>
          <w:tcPr>
            <w:tcW w:w="5405" w:type="dxa"/>
            <w:gridSpan w:val="4"/>
            <w:tcBorders>
              <w:top w:val="single" w:color="auto" w:sz="4" w:space="0"/>
              <w:left w:val="nil"/>
              <w:bottom w:val="single" w:color="auto" w:sz="4" w:space="0"/>
              <w:right w:val="single" w:color="000000"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推行预算绩效管理，强化对资金使用情况的预算约束和监督，围绕部门职责，积极推动各项工作任务的落实见效，提高财政资金的作用效能，促进管理效能的大力提升。</w:t>
            </w:r>
          </w:p>
        </w:tc>
        <w:tc>
          <w:tcPr>
            <w:tcW w:w="3603" w:type="dxa"/>
            <w:gridSpan w:val="4"/>
            <w:tcBorders>
              <w:top w:val="single" w:color="auto" w:sz="4" w:space="0"/>
              <w:left w:val="nil"/>
              <w:bottom w:val="single" w:color="auto" w:sz="4" w:space="0"/>
              <w:right w:val="single" w:color="auto" w:sz="4" w:space="0"/>
            </w:tcBorders>
            <w:noWrap/>
          </w:tcPr>
          <w:p>
            <w:pP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坚持以习近平新时代中国特色社会主义思想为指导，全面贯彻党的二十大会议精神，认真落实省市区组织工作会议精神，坚持以党的政治建设为统领，着力建设忠诚干净担当的高素质干部队伍，着力健全和落实科学精准得选贤任能制度、科学严密的组织制度、科学有效的人才制度，为奋力谱写“守护好一江碧水，建设好精致君山”新篇章提供坚强组织保证。</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绩</w:t>
            </w:r>
          </w:p>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效</w:t>
            </w:r>
          </w:p>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指</w:t>
            </w:r>
          </w:p>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标</w:t>
            </w:r>
          </w:p>
          <w:p>
            <w:pPr>
              <w:widowControl/>
              <w:spacing w:line="240" w:lineRule="exact"/>
              <w:jc w:val="center"/>
              <w:rPr>
                <w:rFonts w:ascii="仿宋_GB2312" w:hAnsi="仿宋_GB2312" w:eastAsia="仿宋_GB2312" w:cs="仿宋_GB2312"/>
                <w:color w:val="000000"/>
                <w:sz w:val="20"/>
                <w:szCs w:val="20"/>
              </w:rPr>
            </w:pPr>
          </w:p>
        </w:tc>
        <w:tc>
          <w:tcPr>
            <w:tcW w:w="1080"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一级指标</w:t>
            </w:r>
          </w:p>
        </w:tc>
        <w:tc>
          <w:tcPr>
            <w:tcW w:w="107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二级指标</w:t>
            </w:r>
          </w:p>
        </w:tc>
        <w:tc>
          <w:tcPr>
            <w:tcW w:w="1909"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三级指标</w:t>
            </w:r>
          </w:p>
        </w:tc>
        <w:tc>
          <w:tcPr>
            <w:tcW w:w="1343" w:type="dxa"/>
            <w:tcBorders>
              <w:top w:val="nil"/>
              <w:left w:val="nil"/>
              <w:bottom w:val="single" w:color="auto" w:sz="4" w:space="0"/>
              <w:right w:val="single" w:color="auto" w:sz="4" w:space="0"/>
            </w:tcBorders>
            <w:noWrap/>
            <w:vAlign w:val="center"/>
          </w:tcPr>
          <w:p>
            <w:pPr>
              <w:widowControl/>
              <w:spacing w:line="240" w:lineRule="exac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年度指标值</w:t>
            </w:r>
          </w:p>
        </w:tc>
        <w:tc>
          <w:tcPr>
            <w:tcW w:w="1372" w:type="dxa"/>
            <w:tcBorders>
              <w:top w:val="nil"/>
              <w:left w:val="nil"/>
              <w:bottom w:val="single" w:color="auto" w:sz="4" w:space="0"/>
              <w:right w:val="single" w:color="auto" w:sz="4" w:space="0"/>
            </w:tcBorders>
            <w:noWrap/>
            <w:vAlign w:val="center"/>
          </w:tcPr>
          <w:p>
            <w:pPr>
              <w:widowControl/>
              <w:spacing w:line="240" w:lineRule="exac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实际完成值</w:t>
            </w:r>
          </w:p>
        </w:tc>
        <w:tc>
          <w:tcPr>
            <w:tcW w:w="621"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分值</w:t>
            </w:r>
          </w:p>
        </w:tc>
        <w:tc>
          <w:tcPr>
            <w:tcW w:w="64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得分</w:t>
            </w:r>
          </w:p>
        </w:tc>
        <w:tc>
          <w:tcPr>
            <w:tcW w:w="967" w:type="dxa"/>
            <w:tcBorders>
              <w:top w:val="nil"/>
              <w:left w:val="nil"/>
              <w:bottom w:val="single" w:color="auto" w:sz="4" w:space="0"/>
              <w:right w:val="single" w:color="auto" w:sz="4" w:space="0"/>
            </w:tcBorders>
            <w:noWrap/>
            <w:vAlign w:val="center"/>
          </w:tcPr>
          <w:p>
            <w:pPr>
              <w:widowControl/>
              <w:spacing w:line="240" w:lineRule="exac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偏差原因分析及改进措施</w:t>
            </w:r>
          </w:p>
        </w:tc>
      </w:tr>
      <w:tr>
        <w:trPr>
          <w:jc w:val="center"/>
        </w:trPr>
        <w:tc>
          <w:tcPr>
            <w:tcW w:w="1080" w:type="dxa"/>
            <w:vMerge w:val="continue"/>
            <w:tcBorders>
              <w:left w:val="single" w:color="auto" w:sz="4" w:space="0"/>
              <w:right w:val="single" w:color="auto" w:sz="4" w:space="0"/>
            </w:tcBorders>
            <w:noWrap/>
            <w:vAlign w:val="center"/>
          </w:tcPr>
          <w:p>
            <w:pPr>
              <w:spacing w:line="240" w:lineRule="exact"/>
              <w:jc w:val="left"/>
              <w:rPr>
                <w:rFonts w:ascii="仿宋_GB2312" w:hAnsi="仿宋_GB2312" w:eastAsia="仿宋_GB2312" w:cs="仿宋_GB2312"/>
                <w:color w:val="000000"/>
                <w:sz w:val="20"/>
                <w:szCs w:val="20"/>
              </w:rPr>
            </w:pPr>
          </w:p>
        </w:tc>
        <w:tc>
          <w:tcPr>
            <w:tcW w:w="1080"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产出指标</w:t>
            </w:r>
          </w:p>
          <w:p>
            <w:pPr>
              <w:widowControl/>
              <w:spacing w:line="240" w:lineRule="exact"/>
              <w:jc w:val="center"/>
              <w:rPr>
                <w:rFonts w:ascii="仿宋_GB2312" w:hAnsi="仿宋_GB2312" w:eastAsia="仿宋_GB2312" w:cs="仿宋_GB2312"/>
                <w:color w:val="000000"/>
                <w:sz w:val="20"/>
                <w:szCs w:val="20"/>
              </w:rPr>
            </w:pPr>
          </w:p>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(50分)</w:t>
            </w:r>
          </w:p>
        </w:tc>
        <w:tc>
          <w:tcPr>
            <w:tcW w:w="1073"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数量指标</w:t>
            </w:r>
          </w:p>
        </w:tc>
        <w:tc>
          <w:tcPr>
            <w:tcW w:w="1909"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以点带面推进国有农田清田清收工作，清收欠款</w:t>
            </w:r>
          </w:p>
        </w:tc>
        <w:tc>
          <w:tcPr>
            <w:tcW w:w="134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≥2762.61万元</w:t>
            </w:r>
          </w:p>
        </w:tc>
        <w:tc>
          <w:tcPr>
            <w:tcW w:w="1372"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2762.61万元</w:t>
            </w:r>
          </w:p>
        </w:tc>
        <w:tc>
          <w:tcPr>
            <w:tcW w:w="621"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64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967"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ign w:val="center"/>
          </w:tcPr>
          <w:p>
            <w:pPr>
              <w:spacing w:line="24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40" w:lineRule="exact"/>
              <w:jc w:val="left"/>
              <w:rPr>
                <w:rFonts w:ascii="仿宋_GB2312" w:hAnsi="仿宋_GB2312" w:eastAsia="仿宋_GB2312" w:cs="仿宋_GB2312"/>
                <w:color w:val="000000"/>
                <w:sz w:val="20"/>
                <w:szCs w:val="20"/>
              </w:rPr>
            </w:pPr>
          </w:p>
        </w:tc>
        <w:tc>
          <w:tcPr>
            <w:tcW w:w="1073" w:type="dxa"/>
            <w:vMerge w:val="continue"/>
            <w:tcBorders>
              <w:top w:val="single" w:color="auto" w:sz="4" w:space="0"/>
              <w:left w:val="single" w:color="auto" w:sz="4" w:space="0"/>
              <w:bottom w:val="single" w:color="auto" w:sz="4" w:space="0"/>
              <w:right w:val="single" w:color="auto" w:sz="4" w:space="0"/>
            </w:tcBorders>
            <w:noWrap/>
            <w:vAlign w:val="center"/>
          </w:tcPr>
          <w:p>
            <w:pPr>
              <w:spacing w:line="240" w:lineRule="exact"/>
              <w:jc w:val="center"/>
              <w:rPr>
                <w:rFonts w:ascii="仿宋_GB2312" w:hAnsi="仿宋_GB2312" w:eastAsia="仿宋_GB2312" w:cs="仿宋_GB2312"/>
                <w:color w:val="000000"/>
                <w:sz w:val="20"/>
                <w:szCs w:val="20"/>
              </w:rPr>
            </w:pPr>
          </w:p>
        </w:tc>
        <w:tc>
          <w:tcPr>
            <w:tcW w:w="1909"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开展专题研讨</w:t>
            </w:r>
          </w:p>
        </w:tc>
        <w:tc>
          <w:tcPr>
            <w:tcW w:w="134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≥4次</w:t>
            </w:r>
          </w:p>
        </w:tc>
        <w:tc>
          <w:tcPr>
            <w:tcW w:w="1372"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4次</w:t>
            </w:r>
          </w:p>
        </w:tc>
        <w:tc>
          <w:tcPr>
            <w:tcW w:w="621"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64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967"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trHeight w:val="295" w:hRule="atLeast"/>
          <w:jc w:val="center"/>
        </w:trPr>
        <w:tc>
          <w:tcPr>
            <w:tcW w:w="1080" w:type="dxa"/>
            <w:vMerge w:val="continue"/>
            <w:tcBorders>
              <w:left w:val="single" w:color="auto" w:sz="4" w:space="0"/>
              <w:right w:val="single" w:color="auto" w:sz="4" w:space="0"/>
            </w:tcBorders>
            <w:noWrap/>
            <w:vAlign w:val="center"/>
          </w:tcPr>
          <w:p>
            <w:pPr>
              <w:spacing w:line="24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40" w:lineRule="exact"/>
              <w:jc w:val="left"/>
              <w:rPr>
                <w:rFonts w:ascii="仿宋_GB2312" w:hAnsi="仿宋_GB2312" w:eastAsia="仿宋_GB2312" w:cs="仿宋_GB2312"/>
                <w:color w:val="000000"/>
                <w:sz w:val="20"/>
                <w:szCs w:val="20"/>
              </w:rPr>
            </w:pPr>
          </w:p>
        </w:tc>
        <w:tc>
          <w:tcPr>
            <w:tcW w:w="1073" w:type="dxa"/>
            <w:vMerge w:val="continue"/>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p>
        </w:tc>
        <w:tc>
          <w:tcPr>
            <w:tcW w:w="1909"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累计发现身边不正之风和腐败问题</w:t>
            </w:r>
          </w:p>
        </w:tc>
        <w:tc>
          <w:tcPr>
            <w:tcW w:w="134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≥470件</w:t>
            </w:r>
          </w:p>
        </w:tc>
        <w:tc>
          <w:tcPr>
            <w:tcW w:w="1372"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470件</w:t>
            </w:r>
          </w:p>
        </w:tc>
        <w:tc>
          <w:tcPr>
            <w:tcW w:w="621"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64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967"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ign w:val="center"/>
          </w:tcPr>
          <w:p>
            <w:pPr>
              <w:spacing w:line="24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40" w:lineRule="exact"/>
              <w:jc w:val="left"/>
              <w:rPr>
                <w:rFonts w:ascii="仿宋_GB2312" w:hAnsi="仿宋_GB2312" w:eastAsia="仿宋_GB2312" w:cs="仿宋_GB2312"/>
                <w:color w:val="000000"/>
                <w:sz w:val="20"/>
                <w:szCs w:val="20"/>
              </w:rPr>
            </w:pPr>
          </w:p>
        </w:tc>
        <w:tc>
          <w:tcPr>
            <w:tcW w:w="1073" w:type="dxa"/>
            <w:vMerge w:val="continue"/>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p>
        </w:tc>
        <w:tc>
          <w:tcPr>
            <w:tcW w:w="1909"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统一区镇村三级标识标牌，集中销毁挂牌</w:t>
            </w:r>
          </w:p>
        </w:tc>
        <w:tc>
          <w:tcPr>
            <w:tcW w:w="134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1100块</w:t>
            </w:r>
          </w:p>
        </w:tc>
        <w:tc>
          <w:tcPr>
            <w:tcW w:w="1372"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1150块</w:t>
            </w:r>
          </w:p>
        </w:tc>
        <w:tc>
          <w:tcPr>
            <w:tcW w:w="621"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64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967"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ign w:val="center"/>
          </w:tcPr>
          <w:p>
            <w:pPr>
              <w:spacing w:line="24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40" w:lineRule="exact"/>
              <w:jc w:val="left"/>
              <w:rPr>
                <w:rFonts w:ascii="仿宋_GB2312" w:hAnsi="仿宋_GB2312" w:eastAsia="仿宋_GB2312" w:cs="仿宋_GB2312"/>
                <w:color w:val="000000"/>
                <w:sz w:val="20"/>
                <w:szCs w:val="20"/>
              </w:rPr>
            </w:pPr>
          </w:p>
        </w:tc>
        <w:tc>
          <w:tcPr>
            <w:tcW w:w="1073" w:type="dxa"/>
            <w:vMerge w:val="continue"/>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p>
        </w:tc>
        <w:tc>
          <w:tcPr>
            <w:tcW w:w="1909"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落实君山“531”行动计划，招揽人才</w:t>
            </w:r>
          </w:p>
        </w:tc>
        <w:tc>
          <w:tcPr>
            <w:tcW w:w="134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30人</w:t>
            </w:r>
          </w:p>
        </w:tc>
        <w:tc>
          <w:tcPr>
            <w:tcW w:w="1372"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34人</w:t>
            </w:r>
          </w:p>
        </w:tc>
        <w:tc>
          <w:tcPr>
            <w:tcW w:w="621"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64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967"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trHeight w:val="90" w:hRule="atLeast"/>
          <w:jc w:val="center"/>
        </w:trPr>
        <w:tc>
          <w:tcPr>
            <w:tcW w:w="1080" w:type="dxa"/>
            <w:vMerge w:val="continue"/>
            <w:tcBorders>
              <w:left w:val="single" w:color="auto" w:sz="4" w:space="0"/>
              <w:right w:val="single" w:color="auto" w:sz="4" w:space="0"/>
            </w:tcBorders>
            <w:noWrap/>
            <w:vAlign w:val="center"/>
          </w:tcPr>
          <w:p>
            <w:pPr>
              <w:spacing w:line="24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40" w:lineRule="exact"/>
              <w:jc w:val="left"/>
              <w:rPr>
                <w:rFonts w:ascii="仿宋_GB2312" w:hAnsi="仿宋_GB2312" w:eastAsia="仿宋_GB2312" w:cs="仿宋_GB2312"/>
                <w:color w:val="000000"/>
                <w:sz w:val="20"/>
                <w:szCs w:val="20"/>
              </w:rPr>
            </w:pPr>
          </w:p>
        </w:tc>
        <w:tc>
          <w:tcPr>
            <w:tcW w:w="1073"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质量指标</w:t>
            </w:r>
          </w:p>
        </w:tc>
        <w:tc>
          <w:tcPr>
            <w:tcW w:w="1909"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党员参与率</w:t>
            </w:r>
          </w:p>
        </w:tc>
        <w:tc>
          <w:tcPr>
            <w:tcW w:w="134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≥98%</w:t>
            </w:r>
          </w:p>
        </w:tc>
        <w:tc>
          <w:tcPr>
            <w:tcW w:w="1372"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100%</w:t>
            </w:r>
          </w:p>
        </w:tc>
        <w:tc>
          <w:tcPr>
            <w:tcW w:w="621"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64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967"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trHeight w:val="295" w:hRule="atLeast"/>
          <w:jc w:val="center"/>
        </w:trPr>
        <w:tc>
          <w:tcPr>
            <w:tcW w:w="1080" w:type="dxa"/>
            <w:vMerge w:val="continue"/>
            <w:tcBorders>
              <w:left w:val="single" w:color="auto" w:sz="4" w:space="0"/>
              <w:right w:val="single" w:color="auto" w:sz="4" w:space="0"/>
            </w:tcBorders>
            <w:noWrap/>
            <w:vAlign w:val="center"/>
          </w:tcPr>
          <w:p>
            <w:pPr>
              <w:spacing w:line="24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40" w:lineRule="exact"/>
              <w:jc w:val="left"/>
              <w:rPr>
                <w:rFonts w:ascii="仿宋_GB2312" w:hAnsi="仿宋_GB2312" w:eastAsia="仿宋_GB2312" w:cs="仿宋_GB2312"/>
                <w:color w:val="000000"/>
                <w:sz w:val="20"/>
                <w:szCs w:val="20"/>
              </w:rPr>
            </w:pPr>
          </w:p>
        </w:tc>
        <w:tc>
          <w:tcPr>
            <w:tcW w:w="1073" w:type="dxa"/>
            <w:vMerge w:val="continue"/>
            <w:tcBorders>
              <w:top w:val="single" w:color="auto" w:sz="4" w:space="0"/>
              <w:left w:val="single" w:color="auto" w:sz="4" w:space="0"/>
              <w:bottom w:val="single" w:color="auto" w:sz="4" w:space="0"/>
              <w:right w:val="single" w:color="auto" w:sz="4" w:space="0"/>
            </w:tcBorders>
            <w:noWrap/>
            <w:vAlign w:val="center"/>
          </w:tcPr>
          <w:p>
            <w:pPr>
              <w:spacing w:line="240" w:lineRule="exact"/>
              <w:jc w:val="center"/>
              <w:rPr>
                <w:rFonts w:ascii="仿宋_GB2312" w:hAnsi="仿宋_GB2312" w:eastAsia="仿宋_GB2312" w:cs="仿宋_GB2312"/>
                <w:color w:val="000000"/>
                <w:sz w:val="20"/>
                <w:szCs w:val="20"/>
              </w:rPr>
            </w:pPr>
          </w:p>
        </w:tc>
        <w:tc>
          <w:tcPr>
            <w:tcW w:w="1909"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工作实际完成率</w:t>
            </w:r>
          </w:p>
        </w:tc>
        <w:tc>
          <w:tcPr>
            <w:tcW w:w="134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＝100%</w:t>
            </w:r>
          </w:p>
        </w:tc>
        <w:tc>
          <w:tcPr>
            <w:tcW w:w="1372"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100%</w:t>
            </w:r>
          </w:p>
        </w:tc>
        <w:tc>
          <w:tcPr>
            <w:tcW w:w="621"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64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967"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ign w:val="center"/>
          </w:tcPr>
          <w:p>
            <w:pPr>
              <w:spacing w:line="24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40" w:lineRule="exact"/>
              <w:jc w:val="left"/>
              <w:rPr>
                <w:rFonts w:ascii="仿宋_GB2312" w:hAnsi="仿宋_GB2312" w:eastAsia="仿宋_GB2312" w:cs="仿宋_GB2312"/>
                <w:color w:val="000000"/>
                <w:sz w:val="20"/>
                <w:szCs w:val="20"/>
              </w:rPr>
            </w:pPr>
          </w:p>
        </w:tc>
        <w:tc>
          <w:tcPr>
            <w:tcW w:w="1073" w:type="dxa"/>
            <w:vMerge w:val="continue"/>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p>
        </w:tc>
        <w:tc>
          <w:tcPr>
            <w:tcW w:w="1909"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问题办结率</w:t>
            </w:r>
          </w:p>
        </w:tc>
        <w:tc>
          <w:tcPr>
            <w:tcW w:w="134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≥95%</w:t>
            </w:r>
          </w:p>
        </w:tc>
        <w:tc>
          <w:tcPr>
            <w:tcW w:w="1372"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100%</w:t>
            </w:r>
          </w:p>
        </w:tc>
        <w:tc>
          <w:tcPr>
            <w:tcW w:w="621"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64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967"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rPr>
          <w:jc w:val="center"/>
        </w:trPr>
        <w:tc>
          <w:tcPr>
            <w:tcW w:w="1080" w:type="dxa"/>
            <w:vMerge w:val="continue"/>
            <w:tcBorders>
              <w:left w:val="single" w:color="auto" w:sz="4" w:space="0"/>
              <w:right w:val="single" w:color="auto" w:sz="4" w:space="0"/>
            </w:tcBorders>
            <w:noWrap/>
            <w:vAlign w:val="center"/>
          </w:tcPr>
          <w:p>
            <w:pPr>
              <w:spacing w:line="24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40" w:lineRule="exact"/>
              <w:jc w:val="left"/>
              <w:rPr>
                <w:rFonts w:ascii="仿宋_GB2312" w:hAnsi="仿宋_GB2312" w:eastAsia="仿宋_GB2312" w:cs="仿宋_GB2312"/>
                <w:color w:val="000000"/>
                <w:sz w:val="20"/>
                <w:szCs w:val="20"/>
              </w:rPr>
            </w:pPr>
          </w:p>
        </w:tc>
        <w:tc>
          <w:tcPr>
            <w:tcW w:w="1073"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时效指标</w:t>
            </w:r>
          </w:p>
        </w:tc>
        <w:tc>
          <w:tcPr>
            <w:tcW w:w="1909"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按计划时间完成任务</w:t>
            </w:r>
          </w:p>
        </w:tc>
        <w:tc>
          <w:tcPr>
            <w:tcW w:w="1343"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2024、12、31</w:t>
            </w:r>
          </w:p>
        </w:tc>
        <w:tc>
          <w:tcPr>
            <w:tcW w:w="1372"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2024、12、31</w:t>
            </w:r>
          </w:p>
        </w:tc>
        <w:tc>
          <w:tcPr>
            <w:tcW w:w="621"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64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967"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ign w:val="center"/>
          </w:tcPr>
          <w:p>
            <w:pPr>
              <w:spacing w:line="24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40" w:lineRule="exact"/>
              <w:jc w:val="left"/>
              <w:rPr>
                <w:rFonts w:ascii="仿宋_GB2312" w:hAnsi="仿宋_GB2312" w:eastAsia="仿宋_GB2312" w:cs="仿宋_GB2312"/>
                <w:color w:val="000000"/>
                <w:sz w:val="20"/>
                <w:szCs w:val="20"/>
              </w:rPr>
            </w:pPr>
          </w:p>
        </w:tc>
        <w:tc>
          <w:tcPr>
            <w:tcW w:w="1073"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成本指标</w:t>
            </w:r>
          </w:p>
        </w:tc>
        <w:tc>
          <w:tcPr>
            <w:tcW w:w="1909"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完成任务支出不超过预算批复金额</w:t>
            </w:r>
          </w:p>
        </w:tc>
        <w:tc>
          <w:tcPr>
            <w:tcW w:w="1343"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ascii="Arial" w:hAnsi="Arial" w:eastAsia="仿宋_GB2312" w:cs="Arial"/>
                <w:sz w:val="20"/>
                <w:szCs w:val="20"/>
              </w:rPr>
              <w:t>≤</w:t>
            </w:r>
            <w:r>
              <w:rPr>
                <w:rFonts w:hint="eastAsia" w:ascii="仿宋_GB2312" w:hAnsi="仿宋_GB2312" w:eastAsia="仿宋_GB2312" w:cs="仿宋_GB2312"/>
                <w:sz w:val="20"/>
                <w:szCs w:val="20"/>
              </w:rPr>
              <w:t>2120.49</w:t>
            </w:r>
            <w:r>
              <w:rPr>
                <w:rFonts w:hint="eastAsia" w:ascii="仿宋_GB2312" w:hAnsi="仿宋_GB2312" w:eastAsia="仿宋_GB2312" w:cs="仿宋_GB2312"/>
                <w:color w:val="000000"/>
                <w:sz w:val="20"/>
                <w:szCs w:val="20"/>
              </w:rPr>
              <w:t>万</w:t>
            </w:r>
          </w:p>
        </w:tc>
        <w:tc>
          <w:tcPr>
            <w:tcW w:w="1372"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sz w:val="20"/>
                <w:szCs w:val="20"/>
              </w:rPr>
              <w:t>2000.82</w:t>
            </w:r>
            <w:r>
              <w:rPr>
                <w:rFonts w:hint="eastAsia" w:ascii="仿宋_GB2312" w:hAnsi="仿宋_GB2312" w:eastAsia="仿宋_GB2312" w:cs="仿宋_GB2312"/>
                <w:color w:val="000000"/>
                <w:sz w:val="20"/>
                <w:szCs w:val="20"/>
              </w:rPr>
              <w:t>万元</w:t>
            </w:r>
          </w:p>
        </w:tc>
        <w:tc>
          <w:tcPr>
            <w:tcW w:w="621"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64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967"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ign w:val="center"/>
          </w:tcPr>
          <w:p>
            <w:pPr>
              <w:spacing w:line="240" w:lineRule="exact"/>
              <w:jc w:val="left"/>
              <w:rPr>
                <w:rFonts w:ascii="仿宋_GB2312" w:hAnsi="仿宋_GB2312" w:eastAsia="仿宋_GB2312" w:cs="仿宋_GB2312"/>
                <w:color w:val="000000"/>
                <w:sz w:val="20"/>
                <w:szCs w:val="20"/>
              </w:rPr>
            </w:pPr>
          </w:p>
        </w:tc>
        <w:tc>
          <w:tcPr>
            <w:tcW w:w="1080"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效益指标</w:t>
            </w:r>
          </w:p>
          <w:p>
            <w:pPr>
              <w:widowControl/>
              <w:spacing w:line="240" w:lineRule="exact"/>
              <w:jc w:val="left"/>
              <w:rPr>
                <w:rFonts w:ascii="仿宋_GB2312" w:hAnsi="仿宋_GB2312" w:eastAsia="仿宋_GB2312" w:cs="仿宋_GB2312"/>
                <w:color w:val="000000"/>
                <w:sz w:val="20"/>
                <w:szCs w:val="20"/>
              </w:rPr>
            </w:pPr>
          </w:p>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（30分）</w:t>
            </w:r>
          </w:p>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1073"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经济效</w:t>
            </w:r>
          </w:p>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益指标</w:t>
            </w:r>
          </w:p>
        </w:tc>
        <w:tc>
          <w:tcPr>
            <w:tcW w:w="1909"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服务经济社会发展</w:t>
            </w:r>
          </w:p>
        </w:tc>
        <w:tc>
          <w:tcPr>
            <w:tcW w:w="1343"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效果明显</w:t>
            </w:r>
          </w:p>
        </w:tc>
        <w:tc>
          <w:tcPr>
            <w:tcW w:w="1372"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效果明显</w:t>
            </w:r>
          </w:p>
        </w:tc>
        <w:tc>
          <w:tcPr>
            <w:tcW w:w="621"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w:t>
            </w:r>
          </w:p>
        </w:tc>
        <w:tc>
          <w:tcPr>
            <w:tcW w:w="643"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9</w:t>
            </w:r>
          </w:p>
        </w:tc>
        <w:tc>
          <w:tcPr>
            <w:tcW w:w="967"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提升经济措施未到位，下年将加强措施</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ign w:val="center"/>
          </w:tcPr>
          <w:p>
            <w:pPr>
              <w:spacing w:line="24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40" w:lineRule="exact"/>
              <w:jc w:val="left"/>
              <w:rPr>
                <w:rFonts w:ascii="仿宋_GB2312" w:hAnsi="仿宋_GB2312" w:eastAsia="仿宋_GB2312" w:cs="仿宋_GB2312"/>
                <w:color w:val="000000"/>
                <w:sz w:val="20"/>
                <w:szCs w:val="20"/>
              </w:rPr>
            </w:pPr>
          </w:p>
        </w:tc>
        <w:tc>
          <w:tcPr>
            <w:tcW w:w="1073"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社会效</w:t>
            </w:r>
          </w:p>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益指标</w:t>
            </w:r>
          </w:p>
        </w:tc>
        <w:tc>
          <w:tcPr>
            <w:tcW w:w="1909"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促进社会和谐稳定</w:t>
            </w:r>
          </w:p>
        </w:tc>
        <w:tc>
          <w:tcPr>
            <w:tcW w:w="1343"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效果明显</w:t>
            </w:r>
          </w:p>
        </w:tc>
        <w:tc>
          <w:tcPr>
            <w:tcW w:w="1372"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效果明显</w:t>
            </w:r>
          </w:p>
        </w:tc>
        <w:tc>
          <w:tcPr>
            <w:tcW w:w="621"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643"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5</w:t>
            </w:r>
          </w:p>
        </w:tc>
        <w:tc>
          <w:tcPr>
            <w:tcW w:w="967"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rPr>
          <w:jc w:val="center"/>
        </w:trPr>
        <w:tc>
          <w:tcPr>
            <w:tcW w:w="1080" w:type="dxa"/>
            <w:vMerge w:val="continue"/>
            <w:tcBorders>
              <w:left w:val="single" w:color="auto" w:sz="4" w:space="0"/>
              <w:right w:val="single" w:color="auto" w:sz="4" w:space="0"/>
            </w:tcBorders>
            <w:noWrap/>
            <w:vAlign w:val="center"/>
          </w:tcPr>
          <w:p>
            <w:pPr>
              <w:spacing w:line="24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40" w:lineRule="exact"/>
              <w:jc w:val="left"/>
              <w:rPr>
                <w:rFonts w:ascii="仿宋_GB2312" w:hAnsi="仿宋_GB2312" w:eastAsia="仿宋_GB2312" w:cs="仿宋_GB2312"/>
                <w:color w:val="000000"/>
                <w:sz w:val="20"/>
                <w:szCs w:val="20"/>
              </w:rPr>
            </w:pPr>
          </w:p>
        </w:tc>
        <w:tc>
          <w:tcPr>
            <w:tcW w:w="1073"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生态效</w:t>
            </w:r>
          </w:p>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益指标</w:t>
            </w:r>
          </w:p>
        </w:tc>
        <w:tc>
          <w:tcPr>
            <w:tcW w:w="1909"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促进生态环境改善</w:t>
            </w:r>
          </w:p>
        </w:tc>
        <w:tc>
          <w:tcPr>
            <w:tcW w:w="1343"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效果明显</w:t>
            </w:r>
          </w:p>
        </w:tc>
        <w:tc>
          <w:tcPr>
            <w:tcW w:w="1372"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效果明显</w:t>
            </w:r>
          </w:p>
        </w:tc>
        <w:tc>
          <w:tcPr>
            <w:tcW w:w="621"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643"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5</w:t>
            </w:r>
          </w:p>
        </w:tc>
        <w:tc>
          <w:tcPr>
            <w:tcW w:w="967"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trHeight w:val="290" w:hRule="atLeast"/>
          <w:jc w:val="center"/>
        </w:trPr>
        <w:tc>
          <w:tcPr>
            <w:tcW w:w="1080" w:type="dxa"/>
            <w:vMerge w:val="continue"/>
            <w:tcBorders>
              <w:left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p>
        </w:tc>
        <w:tc>
          <w:tcPr>
            <w:tcW w:w="1073"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可持续影响指标</w:t>
            </w:r>
          </w:p>
        </w:tc>
        <w:tc>
          <w:tcPr>
            <w:tcW w:w="1909"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服务经济发展，促进社会和谐稳定</w:t>
            </w:r>
          </w:p>
        </w:tc>
        <w:tc>
          <w:tcPr>
            <w:tcW w:w="1343"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效果明显</w:t>
            </w:r>
          </w:p>
        </w:tc>
        <w:tc>
          <w:tcPr>
            <w:tcW w:w="1372"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效果明显</w:t>
            </w:r>
          </w:p>
        </w:tc>
        <w:tc>
          <w:tcPr>
            <w:tcW w:w="621"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w:t>
            </w:r>
          </w:p>
        </w:tc>
        <w:tc>
          <w:tcPr>
            <w:tcW w:w="643"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9</w:t>
            </w:r>
          </w:p>
        </w:tc>
        <w:tc>
          <w:tcPr>
            <w:tcW w:w="967"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提升经济措施未到位，下年将加强措施</w:t>
            </w:r>
          </w:p>
        </w:tc>
      </w:tr>
      <w:tr>
        <w:tblPrEx>
          <w:tblCellMar>
            <w:top w:w="0" w:type="dxa"/>
            <w:left w:w="108" w:type="dxa"/>
            <w:bottom w:w="0" w:type="dxa"/>
            <w:right w:w="108" w:type="dxa"/>
          </w:tblCellMar>
        </w:tblPrEx>
        <w:trPr>
          <w:trHeight w:val="330" w:hRule="atLeast"/>
          <w:jc w:val="center"/>
        </w:trPr>
        <w:tc>
          <w:tcPr>
            <w:tcW w:w="1080" w:type="dxa"/>
            <w:vMerge w:val="continue"/>
            <w:tcBorders>
              <w:left w:val="single" w:color="auto" w:sz="4" w:space="0"/>
              <w:right w:val="single" w:color="auto" w:sz="4" w:space="0"/>
            </w:tcBorders>
            <w:noWrap/>
            <w:vAlign w:val="center"/>
          </w:tcPr>
          <w:p>
            <w:pPr>
              <w:spacing w:line="240" w:lineRule="exact"/>
              <w:jc w:val="left"/>
              <w:rPr>
                <w:rFonts w:ascii="仿宋_GB2312" w:hAnsi="仿宋_GB2312" w:eastAsia="仿宋_GB2312" w:cs="仿宋_GB2312"/>
                <w:color w:val="000000"/>
                <w:sz w:val="20"/>
                <w:szCs w:val="20"/>
              </w:rPr>
            </w:pPr>
          </w:p>
        </w:tc>
        <w:tc>
          <w:tcPr>
            <w:tcW w:w="1080"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满意度</w:t>
            </w:r>
          </w:p>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指标</w:t>
            </w:r>
          </w:p>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（10分）</w:t>
            </w:r>
          </w:p>
        </w:tc>
        <w:tc>
          <w:tcPr>
            <w:tcW w:w="1073"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服务对象满意度指标</w:t>
            </w:r>
          </w:p>
        </w:tc>
        <w:tc>
          <w:tcPr>
            <w:tcW w:w="1909"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社会公众或服务对象满意度</w:t>
            </w:r>
          </w:p>
        </w:tc>
        <w:tc>
          <w:tcPr>
            <w:tcW w:w="1343"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r>
              <w:rPr>
                <w:rFonts w:hint="eastAsia" w:ascii="宋体" w:hAnsi="宋体" w:cs="宋体"/>
                <w:color w:val="000000"/>
                <w:sz w:val="20"/>
                <w:szCs w:val="20"/>
              </w:rPr>
              <w:t>≧</w:t>
            </w:r>
            <w:r>
              <w:rPr>
                <w:rFonts w:hint="eastAsia" w:ascii="仿宋_GB2312" w:hAnsi="仿宋_GB2312" w:eastAsia="仿宋_GB2312" w:cs="仿宋_GB2312"/>
                <w:color w:val="000000"/>
                <w:sz w:val="20"/>
                <w:szCs w:val="20"/>
              </w:rPr>
              <w:t>90%</w:t>
            </w:r>
          </w:p>
        </w:tc>
        <w:tc>
          <w:tcPr>
            <w:tcW w:w="1372"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r>
              <w:rPr>
                <w:rFonts w:hint="eastAsia" w:ascii="宋体" w:hAnsi="宋体" w:cs="宋体"/>
                <w:color w:val="000000"/>
                <w:sz w:val="20"/>
                <w:szCs w:val="20"/>
              </w:rPr>
              <w:t>≧</w:t>
            </w:r>
            <w:r>
              <w:rPr>
                <w:rFonts w:hint="eastAsia" w:ascii="仿宋_GB2312" w:hAnsi="仿宋_GB2312" w:eastAsia="仿宋_GB2312" w:cs="仿宋_GB2312"/>
                <w:color w:val="000000"/>
                <w:sz w:val="20"/>
                <w:szCs w:val="20"/>
              </w:rPr>
              <w:t>95%</w:t>
            </w:r>
          </w:p>
        </w:tc>
        <w:tc>
          <w:tcPr>
            <w:tcW w:w="621"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w:t>
            </w:r>
          </w:p>
        </w:tc>
        <w:tc>
          <w:tcPr>
            <w:tcW w:w="643"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10</w:t>
            </w:r>
          </w:p>
        </w:tc>
        <w:tc>
          <w:tcPr>
            <w:tcW w:w="967"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trHeight w:val="270" w:hRule="atLeast"/>
          <w:jc w:val="center"/>
        </w:trPr>
        <w:tc>
          <w:tcPr>
            <w:tcW w:w="7857" w:type="dxa"/>
            <w:gridSpan w:val="6"/>
            <w:tcBorders>
              <w:top w:val="single" w:color="auto" w:sz="4" w:space="0"/>
              <w:left w:val="single" w:color="auto" w:sz="4" w:space="0"/>
              <w:bottom w:val="single" w:color="auto" w:sz="4" w:space="0"/>
              <w:right w:val="single" w:color="000000"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总分</w:t>
            </w:r>
          </w:p>
        </w:tc>
        <w:tc>
          <w:tcPr>
            <w:tcW w:w="621"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100</w:t>
            </w:r>
          </w:p>
        </w:tc>
        <w:tc>
          <w:tcPr>
            <w:tcW w:w="643"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97.44</w:t>
            </w:r>
          </w:p>
        </w:tc>
        <w:tc>
          <w:tcPr>
            <w:tcW w:w="967"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r>
    </w:tbl>
    <w:p>
      <w:pPr>
        <w:widowControl/>
        <w:spacing w:line="400" w:lineRule="exact"/>
        <w:jc w:val="left"/>
        <w:rPr>
          <w:rFonts w:ascii="Times New Roman" w:hAnsi="Times New Roman" w:eastAsia="仿宋_GB2312"/>
          <w:sz w:val="22"/>
          <w:szCs w:val="22"/>
        </w:rPr>
      </w:pPr>
      <w:r>
        <w:rPr>
          <w:rFonts w:ascii="Times New Roman" w:hAnsi="Times New Roman" w:eastAsia="仿宋_GB2312"/>
          <w:sz w:val="21"/>
          <w:szCs w:val="22"/>
        </w:rPr>
        <w:t>填表人：</w:t>
      </w:r>
      <w:r>
        <w:rPr>
          <w:rFonts w:hint="eastAsia" w:ascii="Times New Roman" w:hAnsi="Times New Roman" w:eastAsia="仿宋_GB2312"/>
          <w:sz w:val="21"/>
          <w:szCs w:val="22"/>
          <w:lang w:eastAsia="zh-CN"/>
        </w:rPr>
        <w:t>邓凡超</w:t>
      </w:r>
      <w:r>
        <w:rPr>
          <w:rFonts w:ascii="Times New Roman" w:hAnsi="Times New Roman" w:eastAsia="仿宋_GB2312"/>
          <w:sz w:val="21"/>
          <w:szCs w:val="22"/>
        </w:rPr>
        <w:t xml:space="preserve"> 填报日期：</w:t>
      </w:r>
      <w:r>
        <w:rPr>
          <w:rFonts w:hint="eastAsia" w:ascii="Times New Roman" w:hAnsi="Times New Roman" w:eastAsia="仿宋_GB2312"/>
          <w:sz w:val="21"/>
          <w:szCs w:val="22"/>
          <w:lang w:val="en-US" w:eastAsia="zh-CN"/>
        </w:rPr>
        <w:t>2025-5-15</w:t>
      </w:r>
      <w:r>
        <w:rPr>
          <w:rFonts w:ascii="Times New Roman" w:hAnsi="Times New Roman" w:eastAsia="仿宋_GB2312"/>
          <w:sz w:val="21"/>
          <w:szCs w:val="22"/>
        </w:rPr>
        <w:t>联系电话：</w:t>
      </w:r>
      <w:r>
        <w:rPr>
          <w:rFonts w:hint="eastAsia" w:ascii="Times New Roman" w:hAnsi="Times New Roman" w:eastAsia="仿宋_GB2312"/>
          <w:sz w:val="21"/>
          <w:szCs w:val="22"/>
          <w:lang w:val="en-US" w:eastAsia="zh-CN"/>
        </w:rPr>
        <w:t xml:space="preserve">19174099995 </w:t>
      </w:r>
      <w:r>
        <w:rPr>
          <w:rFonts w:ascii="Times New Roman" w:hAnsi="Times New Roman" w:eastAsia="仿宋_GB2312"/>
          <w:sz w:val="21"/>
          <w:szCs w:val="22"/>
        </w:rPr>
        <w:t xml:space="preserve"> 单位负责人签字：</w:t>
      </w:r>
      <w:r>
        <w:rPr>
          <w:rFonts w:hint="eastAsia" w:ascii="Times New Roman" w:hAnsi="Times New Roman" w:eastAsia="仿宋_GB2312"/>
          <w:sz w:val="21"/>
          <w:szCs w:val="22"/>
          <w:lang w:eastAsia="zh-CN"/>
        </w:rPr>
        <w:t>张新文</w:t>
      </w:r>
    </w:p>
    <w:p>
      <w:pPr>
        <w:rPr>
          <w:rFonts w:hint="eastAsia" w:ascii="方正小标宋简体" w:hAnsi="方正小标宋简体" w:eastAsia="方正小标宋简体" w:cs="方正小标宋简体"/>
          <w:color w:val="000000"/>
          <w:sz w:val="36"/>
          <w:szCs w:val="36"/>
        </w:rPr>
      </w:pPr>
      <w:r>
        <w:rPr>
          <w:rFonts w:hint="eastAsia" w:ascii="方正小标宋简体" w:hAnsi="方正小标宋简体" w:eastAsia="方正小标宋简体" w:cs="方正小标宋简体"/>
          <w:color w:val="000000"/>
          <w:sz w:val="36"/>
          <w:szCs w:val="36"/>
        </w:rPr>
        <w:br w:type="page"/>
      </w:r>
    </w:p>
    <w:p>
      <w:pPr>
        <w:widowControl/>
        <w:spacing w:line="600" w:lineRule="exact"/>
        <w:ind w:firstLine="1800" w:firstLineChars="500"/>
        <w:rPr>
          <w:rFonts w:ascii="方正小标宋简体" w:hAnsi="方正小标宋简体" w:eastAsia="方正小标宋简体" w:cs="方正小标宋简体"/>
          <w:color w:val="000000"/>
          <w:sz w:val="36"/>
          <w:szCs w:val="36"/>
        </w:rPr>
      </w:pPr>
      <w:r>
        <w:rPr>
          <w:rFonts w:hint="eastAsia" w:ascii="方正小标宋简体" w:hAnsi="方正小标宋简体" w:eastAsia="方正小标宋简体" w:cs="方正小标宋简体"/>
          <w:color w:val="000000"/>
          <w:sz w:val="36"/>
          <w:szCs w:val="36"/>
        </w:rPr>
        <w:t>2024年度项目支出绩效自评表</w:t>
      </w:r>
    </w:p>
    <w:tbl>
      <w:tblPr>
        <w:tblStyle w:val="7"/>
        <w:tblW w:w="10629" w:type="dxa"/>
        <w:jc w:val="center"/>
        <w:tblLayout w:type="autofit"/>
        <w:tblCellMar>
          <w:top w:w="0" w:type="dxa"/>
          <w:left w:w="108" w:type="dxa"/>
          <w:bottom w:w="0" w:type="dxa"/>
          <w:right w:w="108" w:type="dxa"/>
        </w:tblCellMar>
      </w:tblPr>
      <w:tblGrid>
        <w:gridCol w:w="1080"/>
        <w:gridCol w:w="1080"/>
        <w:gridCol w:w="1080"/>
        <w:gridCol w:w="1224"/>
        <w:gridCol w:w="1134"/>
        <w:gridCol w:w="1134"/>
        <w:gridCol w:w="828"/>
        <w:gridCol w:w="873"/>
        <w:gridCol w:w="2196"/>
      </w:tblGrid>
      <w:tr>
        <w:tblPrEx>
          <w:tblCellMar>
            <w:top w:w="0" w:type="dxa"/>
            <w:left w:w="108" w:type="dxa"/>
            <w:bottom w:w="0" w:type="dxa"/>
            <w:right w:w="108" w:type="dxa"/>
          </w:tblCellMar>
        </w:tblPrEx>
        <w:trPr>
          <w:trHeight w:val="465" w:hRule="atLeast"/>
          <w:jc w:val="center"/>
        </w:trPr>
        <w:tc>
          <w:tcPr>
            <w:tcW w:w="1080"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项目支</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出名称</w:t>
            </w:r>
          </w:p>
        </w:tc>
        <w:tc>
          <w:tcPr>
            <w:tcW w:w="9549" w:type="dxa"/>
            <w:gridSpan w:val="8"/>
            <w:tcBorders>
              <w:top w:val="single" w:color="auto" w:sz="4" w:space="0"/>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组织专项</w:t>
            </w:r>
          </w:p>
        </w:tc>
      </w:tr>
      <w:tr>
        <w:tblPrEx>
          <w:tblCellMar>
            <w:top w:w="0" w:type="dxa"/>
            <w:left w:w="108" w:type="dxa"/>
            <w:bottom w:w="0" w:type="dxa"/>
            <w:right w:w="108" w:type="dxa"/>
          </w:tblCellMar>
        </w:tblPrEx>
        <w:trPr>
          <w:jc w:val="center"/>
        </w:trPr>
        <w:tc>
          <w:tcPr>
            <w:tcW w:w="1080" w:type="dxa"/>
            <w:tcBorders>
              <w:top w:val="nil"/>
              <w:left w:val="single" w:color="auto" w:sz="4" w:space="0"/>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主管部门</w:t>
            </w:r>
          </w:p>
        </w:tc>
        <w:tc>
          <w:tcPr>
            <w:tcW w:w="4518" w:type="dxa"/>
            <w:gridSpan w:val="4"/>
            <w:tcBorders>
              <w:top w:val="single" w:color="auto" w:sz="4" w:space="0"/>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中共岳阳市君山区委组织部</w:t>
            </w:r>
          </w:p>
        </w:tc>
        <w:tc>
          <w:tcPr>
            <w:tcW w:w="1134" w:type="dxa"/>
            <w:tcBorders>
              <w:top w:val="single" w:color="auto" w:sz="4" w:space="0"/>
              <w:left w:val="nil"/>
              <w:bottom w:val="single" w:color="auto" w:sz="4" w:space="0"/>
              <w:right w:val="single" w:color="000000"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实施单位</w:t>
            </w:r>
          </w:p>
        </w:tc>
        <w:tc>
          <w:tcPr>
            <w:tcW w:w="3897" w:type="dxa"/>
            <w:gridSpan w:val="3"/>
            <w:tcBorders>
              <w:top w:val="single" w:color="auto" w:sz="4" w:space="0"/>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中共岳阳市君山区委组织部</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bottom w:val="single" w:color="000000"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项目资金</w:t>
            </w:r>
            <w:r>
              <w:rPr>
                <w:rFonts w:hint="eastAsia" w:ascii="仿宋_GB2312" w:hAnsi="仿宋_GB2312" w:eastAsia="仿宋_GB2312" w:cs="仿宋_GB2312"/>
                <w:color w:val="000000"/>
                <w:sz w:val="20"/>
                <w:szCs w:val="20"/>
              </w:rPr>
              <w:br w:type="textWrapping"/>
            </w:r>
            <w:r>
              <w:rPr>
                <w:rFonts w:hint="eastAsia" w:ascii="仿宋_GB2312" w:hAnsi="仿宋_GB2312" w:eastAsia="仿宋_GB2312" w:cs="仿宋_GB2312"/>
                <w:color w:val="000000"/>
                <w:sz w:val="20"/>
                <w:szCs w:val="20"/>
              </w:rPr>
              <w:t>（万元）</w:t>
            </w:r>
          </w:p>
        </w:tc>
        <w:tc>
          <w:tcPr>
            <w:tcW w:w="2160" w:type="dxa"/>
            <w:gridSpan w:val="2"/>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1224"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年初</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预算数</w:t>
            </w:r>
          </w:p>
        </w:tc>
        <w:tc>
          <w:tcPr>
            <w:tcW w:w="1134"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全年</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预算数</w:t>
            </w:r>
          </w:p>
        </w:tc>
        <w:tc>
          <w:tcPr>
            <w:tcW w:w="1134" w:type="dxa"/>
            <w:tcBorders>
              <w:top w:val="nil"/>
              <w:left w:val="nil"/>
              <w:bottom w:val="single" w:color="auto" w:sz="4" w:space="0"/>
              <w:right w:val="single" w:color="auto" w:sz="4" w:space="0"/>
            </w:tcBorders>
            <w:noWrap/>
            <w:vAlign w:val="center"/>
          </w:tcPr>
          <w:p>
            <w:pPr>
              <w:spacing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全年</w:t>
            </w:r>
          </w:p>
          <w:p>
            <w:pPr>
              <w:spacing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执行数</w:t>
            </w:r>
          </w:p>
        </w:tc>
        <w:tc>
          <w:tcPr>
            <w:tcW w:w="828" w:type="dxa"/>
            <w:tcBorders>
              <w:top w:val="nil"/>
              <w:left w:val="nil"/>
              <w:bottom w:val="single" w:color="auto" w:sz="4" w:space="0"/>
              <w:right w:val="single" w:color="auto" w:sz="4" w:space="0"/>
            </w:tcBorders>
            <w:noWrap/>
            <w:vAlign w:val="center"/>
          </w:tcPr>
          <w:p>
            <w:pPr>
              <w:spacing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分值</w:t>
            </w:r>
          </w:p>
        </w:tc>
        <w:tc>
          <w:tcPr>
            <w:tcW w:w="873" w:type="dxa"/>
            <w:tcBorders>
              <w:top w:val="nil"/>
              <w:left w:val="nil"/>
              <w:bottom w:val="single" w:color="auto" w:sz="4" w:space="0"/>
              <w:right w:val="single" w:color="auto" w:sz="4" w:space="0"/>
            </w:tcBorders>
            <w:noWrap/>
            <w:vAlign w:val="center"/>
          </w:tcPr>
          <w:p>
            <w:pPr>
              <w:spacing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执行率</w:t>
            </w:r>
          </w:p>
        </w:tc>
        <w:tc>
          <w:tcPr>
            <w:tcW w:w="2196" w:type="dxa"/>
            <w:tcBorders>
              <w:top w:val="nil"/>
              <w:left w:val="nil"/>
              <w:bottom w:val="single" w:color="auto" w:sz="4" w:space="0"/>
              <w:right w:val="single" w:color="auto" w:sz="4" w:space="0"/>
            </w:tcBorders>
            <w:noWrap/>
            <w:vAlign w:val="center"/>
          </w:tcPr>
          <w:p>
            <w:pPr>
              <w:spacing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得分</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p>
        </w:tc>
        <w:tc>
          <w:tcPr>
            <w:tcW w:w="2160" w:type="dxa"/>
            <w:gridSpan w:val="2"/>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年度资金总额　</w:t>
            </w:r>
          </w:p>
        </w:tc>
        <w:tc>
          <w:tcPr>
            <w:tcW w:w="1224"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170.9</w:t>
            </w:r>
          </w:p>
        </w:tc>
        <w:tc>
          <w:tcPr>
            <w:tcW w:w="1134"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170.9</w:t>
            </w:r>
          </w:p>
        </w:tc>
        <w:tc>
          <w:tcPr>
            <w:tcW w:w="1134"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170.9</w:t>
            </w:r>
          </w:p>
        </w:tc>
        <w:tc>
          <w:tcPr>
            <w:tcW w:w="828"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10</w:t>
            </w:r>
          </w:p>
        </w:tc>
        <w:tc>
          <w:tcPr>
            <w:tcW w:w="873"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100</w:t>
            </w:r>
          </w:p>
        </w:tc>
        <w:tc>
          <w:tcPr>
            <w:tcW w:w="2196"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10</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p>
        </w:tc>
        <w:tc>
          <w:tcPr>
            <w:tcW w:w="2160" w:type="dxa"/>
            <w:gridSpan w:val="2"/>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其中：当年财政拨款　</w:t>
            </w:r>
          </w:p>
        </w:tc>
        <w:tc>
          <w:tcPr>
            <w:tcW w:w="1224"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170.9</w:t>
            </w:r>
          </w:p>
        </w:tc>
        <w:tc>
          <w:tcPr>
            <w:tcW w:w="1134"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170.9</w:t>
            </w:r>
          </w:p>
        </w:tc>
        <w:tc>
          <w:tcPr>
            <w:tcW w:w="1134"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170.9</w:t>
            </w:r>
          </w:p>
        </w:tc>
        <w:tc>
          <w:tcPr>
            <w:tcW w:w="828"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873"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2196"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p>
        </w:tc>
        <w:tc>
          <w:tcPr>
            <w:tcW w:w="2160" w:type="dxa"/>
            <w:gridSpan w:val="2"/>
            <w:tcBorders>
              <w:top w:val="nil"/>
              <w:left w:val="nil"/>
              <w:bottom w:val="single" w:color="auto" w:sz="4" w:space="0"/>
              <w:right w:val="single" w:color="auto" w:sz="4" w:space="0"/>
            </w:tcBorders>
            <w:noWrap/>
            <w:vAlign w:val="center"/>
          </w:tcPr>
          <w:p>
            <w:pPr>
              <w:widowControl/>
              <w:spacing w:line="260" w:lineRule="exact"/>
              <w:ind w:firstLine="600" w:firstLineChars="300"/>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上年结转资金　</w:t>
            </w:r>
          </w:p>
        </w:tc>
        <w:tc>
          <w:tcPr>
            <w:tcW w:w="1224"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1134"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1134"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828"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873"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2196"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r>
      <w:tr>
        <w:tblPrEx>
          <w:tblCellMar>
            <w:top w:w="0" w:type="dxa"/>
            <w:left w:w="108" w:type="dxa"/>
            <w:bottom w:w="0" w:type="dxa"/>
            <w:right w:w="108" w:type="dxa"/>
          </w:tblCellMar>
        </w:tblPrEx>
        <w:trPr>
          <w:trHeight w:val="90" w:hRule="atLeast"/>
          <w:jc w:val="center"/>
        </w:trPr>
        <w:tc>
          <w:tcPr>
            <w:tcW w:w="1080" w:type="dxa"/>
            <w:vMerge w:val="continue"/>
            <w:tcBorders>
              <w:top w:val="nil"/>
              <w:left w:val="single" w:color="auto" w:sz="4" w:space="0"/>
              <w:bottom w:val="single" w:color="000000"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p>
        </w:tc>
        <w:tc>
          <w:tcPr>
            <w:tcW w:w="2160" w:type="dxa"/>
            <w:gridSpan w:val="2"/>
            <w:tcBorders>
              <w:top w:val="nil"/>
              <w:left w:val="nil"/>
              <w:bottom w:val="single" w:color="auto" w:sz="4" w:space="0"/>
              <w:right w:val="single" w:color="auto" w:sz="4" w:space="0"/>
            </w:tcBorders>
            <w:noWrap/>
            <w:vAlign w:val="center"/>
          </w:tcPr>
          <w:p>
            <w:pPr>
              <w:widowControl/>
              <w:spacing w:line="260" w:lineRule="exact"/>
              <w:ind w:firstLine="600" w:firstLineChars="300"/>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其他资金</w:t>
            </w:r>
          </w:p>
        </w:tc>
        <w:tc>
          <w:tcPr>
            <w:tcW w:w="1224"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1134"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1134"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828"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873"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2196"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r>
      <w:tr>
        <w:trPr>
          <w:jc w:val="center"/>
        </w:trPr>
        <w:tc>
          <w:tcPr>
            <w:tcW w:w="1080" w:type="dxa"/>
            <w:vMerge w:val="restart"/>
            <w:tcBorders>
              <w:top w:val="nil"/>
              <w:left w:val="single" w:color="auto" w:sz="4" w:space="0"/>
              <w:bottom w:val="single" w:color="000000"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年度总体目标</w:t>
            </w:r>
          </w:p>
        </w:tc>
        <w:tc>
          <w:tcPr>
            <w:tcW w:w="4518" w:type="dxa"/>
            <w:gridSpan w:val="4"/>
            <w:tcBorders>
              <w:top w:val="single" w:color="auto" w:sz="4" w:space="0"/>
              <w:left w:val="nil"/>
              <w:bottom w:val="single" w:color="auto" w:sz="4" w:space="0"/>
              <w:right w:val="single" w:color="000000"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预期目标</w:t>
            </w:r>
          </w:p>
        </w:tc>
        <w:tc>
          <w:tcPr>
            <w:tcW w:w="5031" w:type="dxa"/>
            <w:gridSpan w:val="4"/>
            <w:tcBorders>
              <w:top w:val="single" w:color="auto" w:sz="4" w:space="0"/>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实际完成情况　</w:t>
            </w:r>
          </w:p>
        </w:tc>
      </w:tr>
      <w:tr>
        <w:tblPrEx>
          <w:tblCellMar>
            <w:top w:w="0" w:type="dxa"/>
            <w:left w:w="108" w:type="dxa"/>
            <w:bottom w:w="0" w:type="dxa"/>
            <w:right w:w="108" w:type="dxa"/>
          </w:tblCellMar>
        </w:tblPrEx>
        <w:trPr>
          <w:trHeight w:val="1655" w:hRule="atLeast"/>
          <w:jc w:val="center"/>
        </w:trPr>
        <w:tc>
          <w:tcPr>
            <w:tcW w:w="1080" w:type="dxa"/>
            <w:vMerge w:val="continue"/>
            <w:tcBorders>
              <w:top w:val="nil"/>
              <w:left w:val="single" w:color="auto" w:sz="4" w:space="0"/>
              <w:bottom w:val="single" w:color="000000"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p>
        </w:tc>
        <w:tc>
          <w:tcPr>
            <w:tcW w:w="4518" w:type="dxa"/>
            <w:gridSpan w:val="4"/>
            <w:tcBorders>
              <w:top w:val="single" w:color="auto" w:sz="4" w:space="0"/>
              <w:left w:val="nil"/>
              <w:bottom w:val="single" w:color="auto" w:sz="4" w:space="0"/>
              <w:right w:val="single" w:color="000000" w:sz="4" w:space="0"/>
            </w:tcBorders>
            <w:noWrap/>
            <w:vAlign w:val="center"/>
          </w:tcPr>
          <w:p>
            <w:pPr>
              <w:pStyle w:val="2"/>
              <w:rPr>
                <w:rFonts w:ascii="仿宋_GB2312" w:hAnsi="仿宋_GB2312" w:eastAsia="仿宋_GB2312" w:cs="仿宋_GB2312"/>
                <w:color w:val="000000"/>
                <w:sz w:val="20"/>
                <w:szCs w:val="20"/>
                <w:lang w:eastAsia="zh-CN"/>
              </w:rPr>
            </w:pPr>
            <w:r>
              <w:rPr>
                <w:rFonts w:hint="eastAsia" w:ascii="仿宋_GB2312" w:hAnsi="仿宋_GB2312" w:eastAsia="仿宋_GB2312" w:cs="仿宋_GB2312"/>
                <w:color w:val="000000"/>
                <w:sz w:val="20"/>
                <w:szCs w:val="20"/>
                <w:lang w:eastAsia="zh-CN"/>
              </w:rPr>
              <w:t>保障村级组织正常运转，健全村级管理服务体制，充分发挥基层村居组织作用。</w:t>
            </w:r>
          </w:p>
        </w:tc>
        <w:tc>
          <w:tcPr>
            <w:tcW w:w="5031" w:type="dxa"/>
            <w:gridSpan w:val="4"/>
            <w:tcBorders>
              <w:top w:val="single" w:color="auto" w:sz="4" w:space="0"/>
              <w:left w:val="nil"/>
              <w:bottom w:val="single" w:color="auto" w:sz="4" w:space="0"/>
              <w:right w:val="single" w:color="auto" w:sz="4" w:space="0"/>
            </w:tcBorders>
            <w:noWrap/>
            <w:vAlign w:val="center"/>
          </w:tcPr>
          <w:p>
            <w:pPr>
              <w:pStyle w:val="2"/>
            </w:pPr>
            <w:r>
              <w:rPr>
                <w:rFonts w:hint="eastAsia" w:ascii="仿宋_GB2312" w:hAnsi="仿宋_GB2312" w:eastAsia="仿宋_GB2312" w:cs="仿宋_GB2312"/>
                <w:color w:val="000000"/>
                <w:sz w:val="20"/>
                <w:szCs w:val="20"/>
                <w:lang w:eastAsia="zh-CN"/>
              </w:rPr>
              <w:t>开展“一月一课一片一实践”活动，持续创新“陈嗲工作室”“景明新语”等基层治理做法，扎实推进片组邻“三长制”工作，共开展屋场会1000余场次，现场收集群众意见建议800余条，邻长解决问题2841件。高标准建成9个户外劳动者“暖心驿站”。</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绩</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效</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指</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标</w:t>
            </w:r>
          </w:p>
        </w:tc>
        <w:tc>
          <w:tcPr>
            <w:tcW w:w="1080"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一级指标</w:t>
            </w:r>
          </w:p>
        </w:tc>
        <w:tc>
          <w:tcPr>
            <w:tcW w:w="1080"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二级指标</w:t>
            </w:r>
          </w:p>
        </w:tc>
        <w:tc>
          <w:tcPr>
            <w:tcW w:w="1224"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三级指标</w:t>
            </w:r>
          </w:p>
        </w:tc>
        <w:tc>
          <w:tcPr>
            <w:tcW w:w="1134"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年度</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指标值</w:t>
            </w:r>
          </w:p>
        </w:tc>
        <w:tc>
          <w:tcPr>
            <w:tcW w:w="1134"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实际</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完成值</w:t>
            </w:r>
          </w:p>
        </w:tc>
        <w:tc>
          <w:tcPr>
            <w:tcW w:w="828"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分值</w:t>
            </w:r>
          </w:p>
        </w:tc>
        <w:tc>
          <w:tcPr>
            <w:tcW w:w="873"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得分</w:t>
            </w:r>
          </w:p>
        </w:tc>
        <w:tc>
          <w:tcPr>
            <w:tcW w:w="2196" w:type="dxa"/>
            <w:tcBorders>
              <w:top w:val="nil"/>
              <w:left w:val="nil"/>
              <w:bottom w:val="single" w:color="auto" w:sz="4" w:space="0"/>
              <w:right w:val="single" w:color="auto" w:sz="4" w:space="0"/>
            </w:tcBorders>
            <w:noWrap/>
            <w:vAlign w:val="center"/>
          </w:tcPr>
          <w:p>
            <w:pPr>
              <w:widowControl/>
              <w:spacing w:line="260" w:lineRule="exac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偏差原因分析及改进措施</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产出指标</w:t>
            </w:r>
          </w:p>
          <w:p>
            <w:pPr>
              <w:widowControl/>
              <w:spacing w:line="260" w:lineRule="exact"/>
              <w:jc w:val="center"/>
              <w:rPr>
                <w:rFonts w:ascii="仿宋_GB2312" w:hAnsi="仿宋_GB2312" w:eastAsia="仿宋_GB2312" w:cs="仿宋_GB2312"/>
                <w:color w:val="000000"/>
                <w:sz w:val="20"/>
                <w:szCs w:val="20"/>
              </w:rPr>
            </w:pP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(40分)</w:t>
            </w:r>
          </w:p>
        </w:tc>
        <w:tc>
          <w:tcPr>
            <w:tcW w:w="1080"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数量指标</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培训党员干部人才</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≥3400人</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ind w:firstLine="200" w:firstLineChars="100"/>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已完成</w:t>
            </w:r>
          </w:p>
        </w:tc>
        <w:tc>
          <w:tcPr>
            <w:tcW w:w="828"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10</w:t>
            </w:r>
          </w:p>
        </w:tc>
        <w:tc>
          <w:tcPr>
            <w:tcW w:w="873"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10</w:t>
            </w:r>
          </w:p>
        </w:tc>
        <w:tc>
          <w:tcPr>
            <w:tcW w:w="2196"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trHeight w:val="655" w:hRule="atLeast"/>
          <w:jc w:val="center"/>
        </w:trPr>
        <w:tc>
          <w:tcPr>
            <w:tcW w:w="1080" w:type="dxa"/>
            <w:vMerge w:val="continue"/>
            <w:tcBorders>
              <w:left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ascii="仿宋_GB2312" w:hAnsi="仿宋_GB2312" w:eastAsia="仿宋_GB2312" w:cs="仿宋_GB2312"/>
                <w:color w:val="000000"/>
                <w:sz w:val="20"/>
                <w:szCs w:val="20"/>
              </w:rPr>
            </w:pP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收集群众意见建议</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≥800条</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已完成</w:t>
            </w:r>
          </w:p>
        </w:tc>
        <w:tc>
          <w:tcPr>
            <w:tcW w:w="828"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10</w:t>
            </w:r>
          </w:p>
        </w:tc>
        <w:tc>
          <w:tcPr>
            <w:tcW w:w="873"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10</w:t>
            </w:r>
          </w:p>
        </w:tc>
        <w:tc>
          <w:tcPr>
            <w:tcW w:w="2196"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trHeight w:val="505" w:hRule="atLeast"/>
          <w:jc w:val="center"/>
        </w:trPr>
        <w:tc>
          <w:tcPr>
            <w:tcW w:w="1080" w:type="dxa"/>
            <w:vMerge w:val="continue"/>
            <w:tcBorders>
              <w:left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质量指标</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绩效考核达到全市前列</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≥前3名</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ind w:firstLine="200" w:firstLineChars="100"/>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100%</w:t>
            </w:r>
          </w:p>
        </w:tc>
        <w:tc>
          <w:tcPr>
            <w:tcW w:w="828"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87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2196"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ascii="仿宋_GB2312" w:hAnsi="仿宋_GB2312" w:eastAsia="仿宋_GB2312" w:cs="仿宋_GB2312"/>
                <w:color w:val="000000"/>
                <w:sz w:val="20"/>
                <w:szCs w:val="20"/>
              </w:rPr>
            </w:pP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全覆盖开展党员干部培训。</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=100%</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=100%</w:t>
            </w:r>
          </w:p>
        </w:tc>
        <w:tc>
          <w:tcPr>
            <w:tcW w:w="828"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5</w:t>
            </w:r>
          </w:p>
        </w:tc>
        <w:tc>
          <w:tcPr>
            <w:tcW w:w="873"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5</w:t>
            </w:r>
          </w:p>
        </w:tc>
        <w:tc>
          <w:tcPr>
            <w:tcW w:w="2196"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时效指标</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年度各项任务完成期限</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2024年12月31日前</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2024年12月20日前</w:t>
            </w:r>
          </w:p>
        </w:tc>
        <w:tc>
          <w:tcPr>
            <w:tcW w:w="828"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5</w:t>
            </w:r>
          </w:p>
        </w:tc>
        <w:tc>
          <w:tcPr>
            <w:tcW w:w="87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2196"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rPr>
          <w:jc w:val="center"/>
        </w:trPr>
        <w:tc>
          <w:tcPr>
            <w:tcW w:w="1080" w:type="dxa"/>
            <w:vMerge w:val="continue"/>
            <w:tcBorders>
              <w:left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成本指标</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预算控制率</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宋体" w:hAnsi="宋体" w:cs="宋体"/>
                <w:color w:val="000000"/>
                <w:sz w:val="20"/>
                <w:szCs w:val="20"/>
              </w:rPr>
              <w:t>≦</w:t>
            </w:r>
            <w:r>
              <w:rPr>
                <w:rFonts w:hint="eastAsia" w:ascii="仿宋_GB2312" w:hAnsi="仿宋_GB2312" w:eastAsia="仿宋_GB2312" w:cs="仿宋_GB2312"/>
                <w:color w:val="000000"/>
                <w:sz w:val="20"/>
                <w:szCs w:val="20"/>
              </w:rPr>
              <w:t>100%</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r>
              <w:rPr>
                <w:rFonts w:hint="eastAsia" w:ascii="宋体" w:hAnsi="宋体" w:cs="宋体"/>
                <w:color w:val="000000"/>
                <w:sz w:val="20"/>
                <w:szCs w:val="20"/>
              </w:rPr>
              <w:t>≦</w:t>
            </w:r>
            <w:r>
              <w:rPr>
                <w:rFonts w:hint="eastAsia" w:ascii="仿宋_GB2312" w:hAnsi="仿宋_GB2312" w:eastAsia="仿宋_GB2312" w:cs="仿宋_GB2312"/>
                <w:color w:val="000000"/>
                <w:sz w:val="20"/>
                <w:szCs w:val="20"/>
              </w:rPr>
              <w:t>100%</w:t>
            </w:r>
          </w:p>
        </w:tc>
        <w:tc>
          <w:tcPr>
            <w:tcW w:w="828"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87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2196"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效益指标</w:t>
            </w:r>
          </w:p>
          <w:p>
            <w:pPr>
              <w:widowControl/>
              <w:spacing w:line="260" w:lineRule="exact"/>
              <w:jc w:val="left"/>
              <w:rPr>
                <w:rFonts w:ascii="仿宋_GB2312" w:hAnsi="仿宋_GB2312" w:eastAsia="仿宋_GB2312" w:cs="仿宋_GB2312"/>
                <w:color w:val="000000"/>
                <w:sz w:val="20"/>
                <w:szCs w:val="20"/>
              </w:rPr>
            </w:pPr>
          </w:p>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（40分）</w:t>
            </w:r>
          </w:p>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1080"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经济效</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益指标</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促进当地经济发展</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ind w:firstLine="400" w:firstLineChars="200"/>
              <w:jc w:val="left"/>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定性</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有效推动</w:t>
            </w:r>
          </w:p>
        </w:tc>
        <w:tc>
          <w:tcPr>
            <w:tcW w:w="828"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10</w:t>
            </w:r>
          </w:p>
        </w:tc>
        <w:tc>
          <w:tcPr>
            <w:tcW w:w="87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8</w:t>
            </w:r>
          </w:p>
        </w:tc>
        <w:tc>
          <w:tcPr>
            <w:tcW w:w="2196" w:type="dxa"/>
            <w:tcBorders>
              <w:top w:val="nil"/>
              <w:left w:val="nil"/>
              <w:bottom w:val="single" w:color="auto" w:sz="4" w:space="0"/>
              <w:right w:val="single" w:color="auto" w:sz="4" w:space="0"/>
            </w:tcBorders>
            <w:noWrap/>
            <w:vAlign w:val="center"/>
          </w:tcPr>
          <w:p>
            <w:pPr>
              <w:widowControl/>
              <w:spacing w:line="240" w:lineRule="exact"/>
              <w:ind w:firstLine="200" w:firstLineChars="100"/>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需进一步提升经济考核指标</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社会效</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益指标</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为乡村振兴提供了有力支撑</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ind w:firstLine="400" w:firstLineChars="200"/>
              <w:jc w:val="left"/>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定性</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有效提升</w:t>
            </w:r>
          </w:p>
        </w:tc>
        <w:tc>
          <w:tcPr>
            <w:tcW w:w="828"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10</w:t>
            </w:r>
          </w:p>
        </w:tc>
        <w:tc>
          <w:tcPr>
            <w:tcW w:w="87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w:t>
            </w:r>
          </w:p>
        </w:tc>
        <w:tc>
          <w:tcPr>
            <w:tcW w:w="2196"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生态效</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益指标</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不影响生态环境</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定性</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不影响</w:t>
            </w:r>
          </w:p>
        </w:tc>
        <w:tc>
          <w:tcPr>
            <w:tcW w:w="828"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10</w:t>
            </w:r>
          </w:p>
        </w:tc>
        <w:tc>
          <w:tcPr>
            <w:tcW w:w="87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w:t>
            </w:r>
          </w:p>
        </w:tc>
        <w:tc>
          <w:tcPr>
            <w:tcW w:w="2196"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trHeight w:val="1330" w:hRule="atLeast"/>
          <w:jc w:val="center"/>
        </w:trPr>
        <w:tc>
          <w:tcPr>
            <w:tcW w:w="1080" w:type="dxa"/>
            <w:vMerge w:val="continue"/>
            <w:tcBorders>
              <w:left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p>
        </w:tc>
        <w:tc>
          <w:tcPr>
            <w:tcW w:w="1080"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可持续影响指标</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进一步提高全办工作质量和水平，有效发挥先锋模范作用。</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效果显著</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效果显著</w:t>
            </w:r>
          </w:p>
        </w:tc>
        <w:tc>
          <w:tcPr>
            <w:tcW w:w="828"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10</w:t>
            </w:r>
          </w:p>
        </w:tc>
        <w:tc>
          <w:tcPr>
            <w:tcW w:w="873"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w:t>
            </w:r>
          </w:p>
        </w:tc>
        <w:tc>
          <w:tcPr>
            <w:tcW w:w="2196"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trHeight w:val="640" w:hRule="atLeast"/>
          <w:jc w:val="center"/>
        </w:trPr>
        <w:tc>
          <w:tcPr>
            <w:tcW w:w="1080" w:type="dxa"/>
            <w:vMerge w:val="continue"/>
            <w:tcBorders>
              <w:left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满意度</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指标</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（10分）</w:t>
            </w:r>
          </w:p>
        </w:tc>
        <w:tc>
          <w:tcPr>
            <w:tcW w:w="1080"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服务对象满意度指标</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群众满意度</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≥90%</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≥90%</w:t>
            </w:r>
          </w:p>
        </w:tc>
        <w:tc>
          <w:tcPr>
            <w:tcW w:w="828"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w:t>
            </w:r>
          </w:p>
        </w:tc>
        <w:tc>
          <w:tcPr>
            <w:tcW w:w="87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w:t>
            </w:r>
          </w:p>
        </w:tc>
        <w:tc>
          <w:tcPr>
            <w:tcW w:w="2196"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jc w:val="center"/>
        </w:trPr>
        <w:tc>
          <w:tcPr>
            <w:tcW w:w="6732" w:type="dxa"/>
            <w:gridSpan w:val="6"/>
            <w:tcBorders>
              <w:top w:val="single" w:color="auto" w:sz="4" w:space="0"/>
              <w:left w:val="single" w:color="auto" w:sz="4" w:space="0"/>
              <w:bottom w:val="single" w:color="auto" w:sz="4" w:space="0"/>
              <w:right w:val="single" w:color="000000"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总分</w:t>
            </w:r>
          </w:p>
        </w:tc>
        <w:tc>
          <w:tcPr>
            <w:tcW w:w="828"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100</w:t>
            </w:r>
          </w:p>
        </w:tc>
        <w:tc>
          <w:tcPr>
            <w:tcW w:w="873"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98</w:t>
            </w:r>
          </w:p>
        </w:tc>
        <w:tc>
          <w:tcPr>
            <w:tcW w:w="2196"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r>
    </w:tbl>
    <w:p>
      <w:pPr>
        <w:rPr>
          <w:rFonts w:ascii="Times New Roman" w:hAnsi="Times New Roman" w:eastAsia="仿宋_GB2312"/>
          <w:sz w:val="18"/>
          <w:szCs w:val="18"/>
        </w:rPr>
      </w:pPr>
    </w:p>
    <w:p>
      <w:pPr>
        <w:widowControl/>
        <w:spacing w:line="400" w:lineRule="exact"/>
        <w:jc w:val="left"/>
      </w:pPr>
      <w:r>
        <w:rPr>
          <w:rFonts w:ascii="Times New Roman" w:hAnsi="Times New Roman" w:eastAsia="仿宋_GB2312"/>
          <w:sz w:val="18"/>
          <w:szCs w:val="18"/>
        </w:rPr>
        <w:t>备注：一个一级项目支出一张表。</w:t>
      </w:r>
      <w:r>
        <w:rPr>
          <w:rFonts w:hint="eastAsia" w:ascii="Times New Roman" w:hAnsi="Times New Roman" w:eastAsia="仿宋_GB2312"/>
          <w:sz w:val="18"/>
          <w:szCs w:val="18"/>
        </w:rPr>
        <w:t>如，</w:t>
      </w:r>
      <w:r>
        <w:rPr>
          <w:rFonts w:ascii="Times New Roman" w:hAnsi="Times New Roman" w:eastAsia="仿宋_GB2312"/>
          <w:sz w:val="18"/>
          <w:szCs w:val="18"/>
        </w:rPr>
        <w:t>业务工作经费</w:t>
      </w:r>
      <w:r>
        <w:rPr>
          <w:rFonts w:hint="eastAsia" w:ascii="Times New Roman" w:hAnsi="Times New Roman" w:eastAsia="仿宋_GB2312"/>
          <w:sz w:val="18"/>
          <w:szCs w:val="18"/>
        </w:rPr>
        <w:t>，</w:t>
      </w:r>
      <w:r>
        <w:rPr>
          <w:rFonts w:ascii="Times New Roman" w:hAnsi="Times New Roman" w:eastAsia="仿宋_GB2312"/>
          <w:sz w:val="18"/>
          <w:szCs w:val="18"/>
        </w:rPr>
        <w:t>运行维护经费</w:t>
      </w:r>
      <w:r>
        <w:rPr>
          <w:rFonts w:hint="eastAsia" w:ascii="Times New Roman" w:hAnsi="Times New Roman" w:eastAsia="仿宋_GB2312"/>
          <w:sz w:val="18"/>
          <w:szCs w:val="18"/>
        </w:rPr>
        <w:t>，其他事业发展类资金…各一张表。</w:t>
      </w:r>
      <w:r>
        <w:rPr>
          <w:rFonts w:ascii="Times New Roman" w:hAnsi="Times New Roman" w:eastAsia="仿宋_GB2312"/>
          <w:sz w:val="21"/>
          <w:szCs w:val="22"/>
        </w:rPr>
        <w:t>填表人：</w:t>
      </w:r>
      <w:r>
        <w:rPr>
          <w:rFonts w:hint="eastAsia" w:ascii="Times New Roman" w:hAnsi="Times New Roman" w:eastAsia="仿宋_GB2312"/>
          <w:sz w:val="21"/>
          <w:szCs w:val="22"/>
          <w:lang w:eastAsia="zh-CN"/>
        </w:rPr>
        <w:t>邓凡超</w:t>
      </w:r>
      <w:r>
        <w:rPr>
          <w:rFonts w:ascii="Times New Roman" w:hAnsi="Times New Roman" w:eastAsia="仿宋_GB2312"/>
          <w:sz w:val="21"/>
          <w:szCs w:val="22"/>
        </w:rPr>
        <w:t xml:space="preserve"> 填报日期：</w:t>
      </w:r>
      <w:r>
        <w:rPr>
          <w:rFonts w:hint="eastAsia" w:ascii="Times New Roman" w:hAnsi="Times New Roman" w:eastAsia="仿宋_GB2312"/>
          <w:sz w:val="21"/>
          <w:szCs w:val="22"/>
          <w:lang w:val="en-US" w:eastAsia="zh-CN"/>
        </w:rPr>
        <w:t>2025-5-15</w:t>
      </w:r>
      <w:r>
        <w:rPr>
          <w:rFonts w:ascii="Times New Roman" w:hAnsi="Times New Roman" w:eastAsia="仿宋_GB2312"/>
          <w:sz w:val="21"/>
          <w:szCs w:val="22"/>
        </w:rPr>
        <w:t>联系电话：</w:t>
      </w:r>
      <w:r>
        <w:rPr>
          <w:rFonts w:hint="eastAsia" w:ascii="Times New Roman" w:hAnsi="Times New Roman" w:eastAsia="仿宋_GB2312"/>
          <w:sz w:val="21"/>
          <w:szCs w:val="22"/>
          <w:lang w:val="en-US" w:eastAsia="zh-CN"/>
        </w:rPr>
        <w:t xml:space="preserve">19174099995 </w:t>
      </w:r>
      <w:r>
        <w:rPr>
          <w:rFonts w:ascii="Times New Roman" w:hAnsi="Times New Roman" w:eastAsia="仿宋_GB2312"/>
          <w:sz w:val="21"/>
          <w:szCs w:val="22"/>
        </w:rPr>
        <w:t xml:space="preserve"> 单位负责人签字：</w:t>
      </w:r>
      <w:r>
        <w:rPr>
          <w:rFonts w:hint="eastAsia" w:ascii="Times New Roman" w:hAnsi="Times New Roman" w:eastAsia="仿宋_GB2312"/>
          <w:sz w:val="21"/>
          <w:szCs w:val="22"/>
          <w:lang w:eastAsia="zh-CN"/>
        </w:rPr>
        <w:t>张新文</w:t>
      </w:r>
      <w:r>
        <w:rPr>
          <w:rFonts w:ascii="Times New Roman" w:hAnsi="Times New Roman" w:eastAsia="仿宋_GB2312"/>
          <w:sz w:val="21"/>
          <w:szCs w:val="22"/>
        </w:rPr>
        <w:br w:type="page"/>
      </w:r>
    </w:p>
    <w:p>
      <w:pPr>
        <w:widowControl/>
        <w:spacing w:line="600" w:lineRule="exact"/>
        <w:ind w:firstLine="1800" w:firstLineChars="500"/>
        <w:rPr>
          <w:rFonts w:ascii="方正小标宋简体" w:hAnsi="方正小标宋简体" w:eastAsia="方正小标宋简体" w:cs="方正小标宋简体"/>
          <w:color w:val="000000"/>
          <w:sz w:val="36"/>
          <w:szCs w:val="36"/>
        </w:rPr>
      </w:pPr>
      <w:r>
        <w:rPr>
          <w:rFonts w:hint="eastAsia" w:ascii="方正小标宋简体" w:hAnsi="方正小标宋简体" w:eastAsia="方正小标宋简体" w:cs="方正小标宋简体"/>
          <w:color w:val="000000"/>
          <w:sz w:val="36"/>
          <w:szCs w:val="36"/>
        </w:rPr>
        <w:t>2024年度项目支出绩效自评表</w:t>
      </w:r>
    </w:p>
    <w:tbl>
      <w:tblPr>
        <w:tblStyle w:val="7"/>
        <w:tblW w:w="10629" w:type="dxa"/>
        <w:jc w:val="center"/>
        <w:tblLayout w:type="autofit"/>
        <w:tblCellMar>
          <w:top w:w="0" w:type="dxa"/>
          <w:left w:w="108" w:type="dxa"/>
          <w:bottom w:w="0" w:type="dxa"/>
          <w:right w:w="108" w:type="dxa"/>
        </w:tblCellMar>
      </w:tblPr>
      <w:tblGrid>
        <w:gridCol w:w="1080"/>
        <w:gridCol w:w="1080"/>
        <w:gridCol w:w="1080"/>
        <w:gridCol w:w="1224"/>
        <w:gridCol w:w="1134"/>
        <w:gridCol w:w="1134"/>
        <w:gridCol w:w="828"/>
        <w:gridCol w:w="873"/>
        <w:gridCol w:w="2196"/>
      </w:tblGrid>
      <w:tr>
        <w:tblPrEx>
          <w:tblCellMar>
            <w:top w:w="0" w:type="dxa"/>
            <w:left w:w="108" w:type="dxa"/>
            <w:bottom w:w="0" w:type="dxa"/>
            <w:right w:w="108" w:type="dxa"/>
          </w:tblCellMar>
        </w:tblPrEx>
        <w:trPr>
          <w:trHeight w:val="465" w:hRule="atLeast"/>
          <w:jc w:val="center"/>
        </w:trPr>
        <w:tc>
          <w:tcPr>
            <w:tcW w:w="1080"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项目支</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出名称</w:t>
            </w:r>
          </w:p>
        </w:tc>
        <w:tc>
          <w:tcPr>
            <w:tcW w:w="9549" w:type="dxa"/>
            <w:gridSpan w:val="8"/>
            <w:tcBorders>
              <w:top w:val="single" w:color="auto" w:sz="4" w:space="0"/>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村级运转保障经费</w:t>
            </w:r>
          </w:p>
        </w:tc>
      </w:tr>
      <w:tr>
        <w:tblPrEx>
          <w:tblCellMar>
            <w:top w:w="0" w:type="dxa"/>
            <w:left w:w="108" w:type="dxa"/>
            <w:bottom w:w="0" w:type="dxa"/>
            <w:right w:w="108" w:type="dxa"/>
          </w:tblCellMar>
        </w:tblPrEx>
        <w:trPr>
          <w:jc w:val="center"/>
        </w:trPr>
        <w:tc>
          <w:tcPr>
            <w:tcW w:w="1080" w:type="dxa"/>
            <w:tcBorders>
              <w:top w:val="nil"/>
              <w:left w:val="single" w:color="auto" w:sz="4" w:space="0"/>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主管部门</w:t>
            </w:r>
          </w:p>
        </w:tc>
        <w:tc>
          <w:tcPr>
            <w:tcW w:w="4518" w:type="dxa"/>
            <w:gridSpan w:val="4"/>
            <w:tcBorders>
              <w:top w:val="single" w:color="auto" w:sz="4" w:space="0"/>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中共岳阳市君山区委组织部</w:t>
            </w:r>
          </w:p>
        </w:tc>
        <w:tc>
          <w:tcPr>
            <w:tcW w:w="1134" w:type="dxa"/>
            <w:tcBorders>
              <w:top w:val="single" w:color="auto" w:sz="4" w:space="0"/>
              <w:left w:val="nil"/>
              <w:bottom w:val="single" w:color="auto" w:sz="4" w:space="0"/>
              <w:right w:val="single" w:color="000000"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实施单位</w:t>
            </w:r>
          </w:p>
        </w:tc>
        <w:tc>
          <w:tcPr>
            <w:tcW w:w="3897" w:type="dxa"/>
            <w:gridSpan w:val="3"/>
            <w:tcBorders>
              <w:top w:val="single" w:color="auto" w:sz="4" w:space="0"/>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中共岳阳市君山区委组织部</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bottom w:val="single" w:color="000000"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项目资金</w:t>
            </w:r>
            <w:r>
              <w:rPr>
                <w:rFonts w:hint="eastAsia" w:ascii="仿宋_GB2312" w:hAnsi="仿宋_GB2312" w:eastAsia="仿宋_GB2312" w:cs="仿宋_GB2312"/>
                <w:color w:val="000000"/>
                <w:sz w:val="20"/>
                <w:szCs w:val="20"/>
              </w:rPr>
              <w:br w:type="textWrapping"/>
            </w:r>
            <w:r>
              <w:rPr>
                <w:rFonts w:hint="eastAsia" w:ascii="仿宋_GB2312" w:hAnsi="仿宋_GB2312" w:eastAsia="仿宋_GB2312" w:cs="仿宋_GB2312"/>
                <w:color w:val="000000"/>
                <w:sz w:val="20"/>
                <w:szCs w:val="20"/>
              </w:rPr>
              <w:t>（万元）</w:t>
            </w:r>
          </w:p>
        </w:tc>
        <w:tc>
          <w:tcPr>
            <w:tcW w:w="2160" w:type="dxa"/>
            <w:gridSpan w:val="2"/>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1224"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年初</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预算数</w:t>
            </w:r>
          </w:p>
        </w:tc>
        <w:tc>
          <w:tcPr>
            <w:tcW w:w="1134"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全年</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预算数</w:t>
            </w:r>
          </w:p>
        </w:tc>
        <w:tc>
          <w:tcPr>
            <w:tcW w:w="1134" w:type="dxa"/>
            <w:tcBorders>
              <w:top w:val="nil"/>
              <w:left w:val="nil"/>
              <w:bottom w:val="single" w:color="auto" w:sz="4" w:space="0"/>
              <w:right w:val="single" w:color="auto" w:sz="4" w:space="0"/>
            </w:tcBorders>
            <w:noWrap/>
            <w:vAlign w:val="center"/>
          </w:tcPr>
          <w:p>
            <w:pPr>
              <w:spacing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全年</w:t>
            </w:r>
          </w:p>
          <w:p>
            <w:pPr>
              <w:spacing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执行数</w:t>
            </w:r>
          </w:p>
        </w:tc>
        <w:tc>
          <w:tcPr>
            <w:tcW w:w="828" w:type="dxa"/>
            <w:tcBorders>
              <w:top w:val="nil"/>
              <w:left w:val="nil"/>
              <w:bottom w:val="single" w:color="auto" w:sz="4" w:space="0"/>
              <w:right w:val="single" w:color="auto" w:sz="4" w:space="0"/>
            </w:tcBorders>
            <w:noWrap/>
            <w:vAlign w:val="center"/>
          </w:tcPr>
          <w:p>
            <w:pPr>
              <w:spacing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分值</w:t>
            </w:r>
          </w:p>
        </w:tc>
        <w:tc>
          <w:tcPr>
            <w:tcW w:w="873" w:type="dxa"/>
            <w:tcBorders>
              <w:top w:val="nil"/>
              <w:left w:val="nil"/>
              <w:bottom w:val="single" w:color="auto" w:sz="4" w:space="0"/>
              <w:right w:val="single" w:color="auto" w:sz="4" w:space="0"/>
            </w:tcBorders>
            <w:noWrap/>
            <w:vAlign w:val="center"/>
          </w:tcPr>
          <w:p>
            <w:pPr>
              <w:spacing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执行率</w:t>
            </w:r>
          </w:p>
        </w:tc>
        <w:tc>
          <w:tcPr>
            <w:tcW w:w="2196" w:type="dxa"/>
            <w:tcBorders>
              <w:top w:val="nil"/>
              <w:left w:val="nil"/>
              <w:bottom w:val="single" w:color="auto" w:sz="4" w:space="0"/>
              <w:right w:val="single" w:color="auto" w:sz="4" w:space="0"/>
            </w:tcBorders>
            <w:noWrap/>
            <w:vAlign w:val="center"/>
          </w:tcPr>
          <w:p>
            <w:pPr>
              <w:spacing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得分</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p>
        </w:tc>
        <w:tc>
          <w:tcPr>
            <w:tcW w:w="2160" w:type="dxa"/>
            <w:gridSpan w:val="2"/>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年度资金总额　</w:t>
            </w:r>
          </w:p>
        </w:tc>
        <w:tc>
          <w:tcPr>
            <w:tcW w:w="1224"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613.8</w:t>
            </w:r>
          </w:p>
        </w:tc>
        <w:tc>
          <w:tcPr>
            <w:tcW w:w="1134"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613.8</w:t>
            </w:r>
          </w:p>
        </w:tc>
        <w:tc>
          <w:tcPr>
            <w:tcW w:w="1134"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613.8</w:t>
            </w:r>
          </w:p>
        </w:tc>
        <w:tc>
          <w:tcPr>
            <w:tcW w:w="828"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10</w:t>
            </w:r>
          </w:p>
        </w:tc>
        <w:tc>
          <w:tcPr>
            <w:tcW w:w="873"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100</w:t>
            </w:r>
          </w:p>
        </w:tc>
        <w:tc>
          <w:tcPr>
            <w:tcW w:w="2196"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10</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p>
        </w:tc>
        <w:tc>
          <w:tcPr>
            <w:tcW w:w="2160" w:type="dxa"/>
            <w:gridSpan w:val="2"/>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其中：当年财政拨款　</w:t>
            </w:r>
          </w:p>
        </w:tc>
        <w:tc>
          <w:tcPr>
            <w:tcW w:w="1224"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613.8</w:t>
            </w:r>
          </w:p>
        </w:tc>
        <w:tc>
          <w:tcPr>
            <w:tcW w:w="1134"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613.8</w:t>
            </w:r>
          </w:p>
        </w:tc>
        <w:tc>
          <w:tcPr>
            <w:tcW w:w="1134"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613.8</w:t>
            </w:r>
          </w:p>
        </w:tc>
        <w:tc>
          <w:tcPr>
            <w:tcW w:w="828"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873"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2196"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p>
        </w:tc>
        <w:tc>
          <w:tcPr>
            <w:tcW w:w="2160" w:type="dxa"/>
            <w:gridSpan w:val="2"/>
            <w:tcBorders>
              <w:top w:val="nil"/>
              <w:left w:val="nil"/>
              <w:bottom w:val="single" w:color="auto" w:sz="4" w:space="0"/>
              <w:right w:val="single" w:color="auto" w:sz="4" w:space="0"/>
            </w:tcBorders>
            <w:noWrap/>
            <w:vAlign w:val="center"/>
          </w:tcPr>
          <w:p>
            <w:pPr>
              <w:widowControl/>
              <w:spacing w:line="260" w:lineRule="exact"/>
              <w:ind w:firstLine="600" w:firstLineChars="300"/>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上年结转资金　</w:t>
            </w:r>
          </w:p>
        </w:tc>
        <w:tc>
          <w:tcPr>
            <w:tcW w:w="1224"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1134"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1134"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828"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873"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2196"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r>
      <w:tr>
        <w:tblPrEx>
          <w:tblCellMar>
            <w:top w:w="0" w:type="dxa"/>
            <w:left w:w="108" w:type="dxa"/>
            <w:bottom w:w="0" w:type="dxa"/>
            <w:right w:w="108" w:type="dxa"/>
          </w:tblCellMar>
        </w:tblPrEx>
        <w:trPr>
          <w:trHeight w:val="90" w:hRule="atLeast"/>
          <w:jc w:val="center"/>
        </w:trPr>
        <w:tc>
          <w:tcPr>
            <w:tcW w:w="1080" w:type="dxa"/>
            <w:vMerge w:val="continue"/>
            <w:tcBorders>
              <w:top w:val="nil"/>
              <w:left w:val="single" w:color="auto" w:sz="4" w:space="0"/>
              <w:bottom w:val="single" w:color="000000"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p>
        </w:tc>
        <w:tc>
          <w:tcPr>
            <w:tcW w:w="2160" w:type="dxa"/>
            <w:gridSpan w:val="2"/>
            <w:tcBorders>
              <w:top w:val="nil"/>
              <w:left w:val="nil"/>
              <w:bottom w:val="single" w:color="auto" w:sz="4" w:space="0"/>
              <w:right w:val="single" w:color="auto" w:sz="4" w:space="0"/>
            </w:tcBorders>
            <w:noWrap/>
            <w:vAlign w:val="center"/>
          </w:tcPr>
          <w:p>
            <w:pPr>
              <w:widowControl/>
              <w:spacing w:line="260" w:lineRule="exact"/>
              <w:ind w:firstLine="600" w:firstLineChars="300"/>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其他资金</w:t>
            </w:r>
          </w:p>
        </w:tc>
        <w:tc>
          <w:tcPr>
            <w:tcW w:w="1224"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1134"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1134"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828"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873"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2196"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r>
      <w:tr>
        <w:trPr>
          <w:jc w:val="center"/>
        </w:trPr>
        <w:tc>
          <w:tcPr>
            <w:tcW w:w="1080" w:type="dxa"/>
            <w:vMerge w:val="restart"/>
            <w:tcBorders>
              <w:top w:val="nil"/>
              <w:left w:val="single" w:color="auto" w:sz="4" w:space="0"/>
              <w:bottom w:val="single" w:color="000000"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年度总体目标</w:t>
            </w:r>
          </w:p>
        </w:tc>
        <w:tc>
          <w:tcPr>
            <w:tcW w:w="4518" w:type="dxa"/>
            <w:gridSpan w:val="4"/>
            <w:tcBorders>
              <w:top w:val="single" w:color="auto" w:sz="4" w:space="0"/>
              <w:left w:val="nil"/>
              <w:bottom w:val="single" w:color="auto" w:sz="4" w:space="0"/>
              <w:right w:val="single" w:color="000000"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预期目标</w:t>
            </w:r>
          </w:p>
        </w:tc>
        <w:tc>
          <w:tcPr>
            <w:tcW w:w="5031" w:type="dxa"/>
            <w:gridSpan w:val="4"/>
            <w:tcBorders>
              <w:top w:val="single" w:color="auto" w:sz="4" w:space="0"/>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实际完成情况　</w:t>
            </w:r>
          </w:p>
        </w:tc>
      </w:tr>
      <w:tr>
        <w:tblPrEx>
          <w:tblCellMar>
            <w:top w:w="0" w:type="dxa"/>
            <w:left w:w="108" w:type="dxa"/>
            <w:bottom w:w="0" w:type="dxa"/>
            <w:right w:w="108" w:type="dxa"/>
          </w:tblCellMar>
        </w:tblPrEx>
        <w:trPr>
          <w:trHeight w:val="1655" w:hRule="atLeast"/>
          <w:jc w:val="center"/>
        </w:trPr>
        <w:tc>
          <w:tcPr>
            <w:tcW w:w="1080" w:type="dxa"/>
            <w:vMerge w:val="continue"/>
            <w:tcBorders>
              <w:top w:val="nil"/>
              <w:left w:val="single" w:color="auto" w:sz="4" w:space="0"/>
              <w:bottom w:val="single" w:color="000000"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p>
        </w:tc>
        <w:tc>
          <w:tcPr>
            <w:tcW w:w="4518" w:type="dxa"/>
            <w:gridSpan w:val="4"/>
            <w:tcBorders>
              <w:top w:val="single" w:color="auto" w:sz="4" w:space="0"/>
              <w:left w:val="nil"/>
              <w:bottom w:val="single" w:color="auto" w:sz="4" w:space="0"/>
              <w:right w:val="single" w:color="000000" w:sz="4" w:space="0"/>
            </w:tcBorders>
            <w:noWrap/>
            <w:vAlign w:val="center"/>
          </w:tcPr>
          <w:p>
            <w:pPr>
              <w:pStyle w:val="2"/>
              <w:ind w:left="420" w:firstLine="400"/>
              <w:rPr>
                <w:rFonts w:ascii="仿宋_GB2312" w:hAnsi="仿宋_GB2312" w:eastAsia="仿宋_GB2312" w:cs="仿宋_GB2312"/>
                <w:color w:val="000000"/>
                <w:sz w:val="20"/>
                <w:szCs w:val="20"/>
                <w:lang w:eastAsia="zh-CN"/>
              </w:rPr>
            </w:pPr>
            <w:r>
              <w:rPr>
                <w:rFonts w:hint="eastAsia" w:ascii="仿宋_GB2312" w:hAnsi="仿宋_GB2312" w:eastAsia="仿宋_GB2312" w:cs="仿宋_GB2312"/>
                <w:color w:val="000000"/>
                <w:sz w:val="20"/>
                <w:szCs w:val="20"/>
                <w:lang w:eastAsia="zh-CN"/>
              </w:rPr>
              <w:t>健全村级组织运转经费和村干部待遇增长机制，推动村均运转经费</w:t>
            </w:r>
          </w:p>
        </w:tc>
        <w:tc>
          <w:tcPr>
            <w:tcW w:w="5031" w:type="dxa"/>
            <w:gridSpan w:val="4"/>
            <w:tcBorders>
              <w:top w:val="single" w:color="auto" w:sz="4" w:space="0"/>
              <w:left w:val="nil"/>
              <w:bottom w:val="single" w:color="auto" w:sz="4" w:space="0"/>
              <w:right w:val="single" w:color="auto" w:sz="4" w:space="0"/>
            </w:tcBorders>
            <w:noWrap/>
            <w:vAlign w:val="center"/>
          </w:tcPr>
          <w:p>
            <w:pPr>
              <w:widowControl/>
              <w:spacing w:line="260" w:lineRule="exac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确保了村级组织工作人员报酬发放，村级组织办公经费合理支出及其他必要开支，全年村村级组织工作运转正常。</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绩</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效</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指</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标</w:t>
            </w:r>
          </w:p>
        </w:tc>
        <w:tc>
          <w:tcPr>
            <w:tcW w:w="1080"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一级指标</w:t>
            </w:r>
          </w:p>
        </w:tc>
        <w:tc>
          <w:tcPr>
            <w:tcW w:w="1080"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二级指标</w:t>
            </w:r>
          </w:p>
        </w:tc>
        <w:tc>
          <w:tcPr>
            <w:tcW w:w="1224"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三级指标</w:t>
            </w:r>
          </w:p>
        </w:tc>
        <w:tc>
          <w:tcPr>
            <w:tcW w:w="1134"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年度</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指标值</w:t>
            </w:r>
          </w:p>
        </w:tc>
        <w:tc>
          <w:tcPr>
            <w:tcW w:w="1134"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实际</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完成值</w:t>
            </w:r>
          </w:p>
        </w:tc>
        <w:tc>
          <w:tcPr>
            <w:tcW w:w="828"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分值</w:t>
            </w:r>
          </w:p>
        </w:tc>
        <w:tc>
          <w:tcPr>
            <w:tcW w:w="873"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得分</w:t>
            </w:r>
          </w:p>
        </w:tc>
        <w:tc>
          <w:tcPr>
            <w:tcW w:w="2196" w:type="dxa"/>
            <w:tcBorders>
              <w:top w:val="nil"/>
              <w:left w:val="nil"/>
              <w:bottom w:val="single" w:color="auto" w:sz="4" w:space="0"/>
              <w:right w:val="single" w:color="auto" w:sz="4" w:space="0"/>
            </w:tcBorders>
            <w:noWrap/>
            <w:vAlign w:val="center"/>
          </w:tcPr>
          <w:p>
            <w:pPr>
              <w:widowControl/>
              <w:spacing w:line="260" w:lineRule="exac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偏差原因分析及改进措施</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产出指标</w:t>
            </w:r>
          </w:p>
          <w:p>
            <w:pPr>
              <w:widowControl/>
              <w:spacing w:line="260" w:lineRule="exact"/>
              <w:jc w:val="center"/>
              <w:rPr>
                <w:rFonts w:ascii="仿宋_GB2312" w:hAnsi="仿宋_GB2312" w:eastAsia="仿宋_GB2312" w:cs="仿宋_GB2312"/>
                <w:color w:val="000000"/>
                <w:sz w:val="20"/>
                <w:szCs w:val="20"/>
              </w:rPr>
            </w:pP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(40分)</w:t>
            </w:r>
          </w:p>
        </w:tc>
        <w:tc>
          <w:tcPr>
            <w:tcW w:w="1080"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数量指标</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统一区镇村三级标识标牌，集中销毁挂牌</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≥1150块</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ind w:firstLine="200" w:firstLineChars="100"/>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已完成</w:t>
            </w:r>
          </w:p>
        </w:tc>
        <w:tc>
          <w:tcPr>
            <w:tcW w:w="828"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10</w:t>
            </w:r>
          </w:p>
        </w:tc>
        <w:tc>
          <w:tcPr>
            <w:tcW w:w="873"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10</w:t>
            </w:r>
          </w:p>
        </w:tc>
        <w:tc>
          <w:tcPr>
            <w:tcW w:w="2196"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trHeight w:val="655" w:hRule="atLeast"/>
          <w:jc w:val="center"/>
        </w:trPr>
        <w:tc>
          <w:tcPr>
            <w:tcW w:w="1080" w:type="dxa"/>
            <w:vMerge w:val="continue"/>
            <w:tcBorders>
              <w:left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ascii="仿宋_GB2312" w:hAnsi="仿宋_GB2312" w:eastAsia="仿宋_GB2312" w:cs="仿宋_GB2312"/>
                <w:color w:val="000000"/>
                <w:sz w:val="20"/>
                <w:szCs w:val="20"/>
              </w:rPr>
            </w:pP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推动村均运转经费</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≥40.13万</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已完成</w:t>
            </w:r>
          </w:p>
        </w:tc>
        <w:tc>
          <w:tcPr>
            <w:tcW w:w="828"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10</w:t>
            </w:r>
          </w:p>
        </w:tc>
        <w:tc>
          <w:tcPr>
            <w:tcW w:w="873"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10</w:t>
            </w:r>
          </w:p>
        </w:tc>
        <w:tc>
          <w:tcPr>
            <w:tcW w:w="2196"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trHeight w:val="505" w:hRule="atLeast"/>
          <w:jc w:val="center"/>
        </w:trPr>
        <w:tc>
          <w:tcPr>
            <w:tcW w:w="1080" w:type="dxa"/>
            <w:vMerge w:val="continue"/>
            <w:tcBorders>
              <w:left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质量指标</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保障行政村个数</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≥53</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ind w:firstLine="200" w:firstLineChars="100"/>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100%</w:t>
            </w:r>
          </w:p>
        </w:tc>
        <w:tc>
          <w:tcPr>
            <w:tcW w:w="828"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87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2196"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ascii="仿宋_GB2312" w:hAnsi="仿宋_GB2312" w:eastAsia="仿宋_GB2312" w:cs="仿宋_GB2312"/>
                <w:color w:val="000000"/>
                <w:sz w:val="20"/>
                <w:szCs w:val="20"/>
              </w:rPr>
            </w:pP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全覆盖开展党员干部培训。</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=100%</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=100%</w:t>
            </w:r>
          </w:p>
        </w:tc>
        <w:tc>
          <w:tcPr>
            <w:tcW w:w="828"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5</w:t>
            </w:r>
          </w:p>
        </w:tc>
        <w:tc>
          <w:tcPr>
            <w:tcW w:w="873"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5</w:t>
            </w:r>
          </w:p>
        </w:tc>
        <w:tc>
          <w:tcPr>
            <w:tcW w:w="2196"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时效指标</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年度各项任务完成期限</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2024年12月31日前</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2024年12月20日前</w:t>
            </w:r>
          </w:p>
        </w:tc>
        <w:tc>
          <w:tcPr>
            <w:tcW w:w="828"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5</w:t>
            </w:r>
          </w:p>
        </w:tc>
        <w:tc>
          <w:tcPr>
            <w:tcW w:w="87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2196"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rPr>
          <w:jc w:val="center"/>
        </w:trPr>
        <w:tc>
          <w:tcPr>
            <w:tcW w:w="1080" w:type="dxa"/>
            <w:vMerge w:val="continue"/>
            <w:tcBorders>
              <w:left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成本指标</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预算控制率</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宋体" w:hAnsi="宋体" w:cs="宋体"/>
                <w:color w:val="000000"/>
                <w:sz w:val="20"/>
                <w:szCs w:val="20"/>
              </w:rPr>
              <w:t>≦</w:t>
            </w:r>
            <w:r>
              <w:rPr>
                <w:rFonts w:hint="eastAsia" w:ascii="仿宋_GB2312" w:hAnsi="仿宋_GB2312" w:eastAsia="仿宋_GB2312" w:cs="仿宋_GB2312"/>
                <w:color w:val="000000"/>
                <w:sz w:val="20"/>
                <w:szCs w:val="20"/>
              </w:rPr>
              <w:t>100%</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≦100%</w:t>
            </w:r>
          </w:p>
        </w:tc>
        <w:tc>
          <w:tcPr>
            <w:tcW w:w="828"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87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2196"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效益指标</w:t>
            </w:r>
          </w:p>
          <w:p>
            <w:pPr>
              <w:widowControl/>
              <w:spacing w:line="260" w:lineRule="exact"/>
              <w:jc w:val="left"/>
              <w:rPr>
                <w:rFonts w:ascii="仿宋_GB2312" w:hAnsi="仿宋_GB2312" w:eastAsia="仿宋_GB2312" w:cs="仿宋_GB2312"/>
                <w:color w:val="000000"/>
                <w:sz w:val="20"/>
                <w:szCs w:val="20"/>
              </w:rPr>
            </w:pPr>
          </w:p>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（40分）</w:t>
            </w:r>
          </w:p>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1080"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经济效</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益指标</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促进当地经济发展</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ind w:firstLine="400" w:firstLineChars="200"/>
              <w:jc w:val="left"/>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定性</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有效推动</w:t>
            </w:r>
          </w:p>
        </w:tc>
        <w:tc>
          <w:tcPr>
            <w:tcW w:w="828"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10</w:t>
            </w:r>
          </w:p>
        </w:tc>
        <w:tc>
          <w:tcPr>
            <w:tcW w:w="87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8</w:t>
            </w:r>
          </w:p>
        </w:tc>
        <w:tc>
          <w:tcPr>
            <w:tcW w:w="2196" w:type="dxa"/>
            <w:tcBorders>
              <w:top w:val="nil"/>
              <w:left w:val="nil"/>
              <w:bottom w:val="single" w:color="auto" w:sz="4" w:space="0"/>
              <w:right w:val="single" w:color="auto" w:sz="4" w:space="0"/>
            </w:tcBorders>
            <w:noWrap/>
            <w:vAlign w:val="center"/>
          </w:tcPr>
          <w:p>
            <w:pPr>
              <w:widowControl/>
              <w:spacing w:line="240" w:lineRule="exact"/>
              <w:ind w:firstLine="200" w:firstLineChars="100"/>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需进一步提升经济考核指标</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社会效</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益指标</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为乡村振兴提供了有力支撑</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ind w:firstLine="400" w:firstLineChars="200"/>
              <w:jc w:val="left"/>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定性</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有效提升</w:t>
            </w:r>
          </w:p>
        </w:tc>
        <w:tc>
          <w:tcPr>
            <w:tcW w:w="828"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10</w:t>
            </w:r>
          </w:p>
        </w:tc>
        <w:tc>
          <w:tcPr>
            <w:tcW w:w="87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w:t>
            </w:r>
          </w:p>
        </w:tc>
        <w:tc>
          <w:tcPr>
            <w:tcW w:w="2196"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生态效</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益指标</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不影响生态环境</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定性</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不影响</w:t>
            </w:r>
          </w:p>
        </w:tc>
        <w:tc>
          <w:tcPr>
            <w:tcW w:w="828"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10</w:t>
            </w:r>
          </w:p>
        </w:tc>
        <w:tc>
          <w:tcPr>
            <w:tcW w:w="87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w:t>
            </w:r>
          </w:p>
        </w:tc>
        <w:tc>
          <w:tcPr>
            <w:tcW w:w="2196"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trHeight w:val="1330" w:hRule="atLeast"/>
          <w:jc w:val="center"/>
        </w:trPr>
        <w:tc>
          <w:tcPr>
            <w:tcW w:w="1080" w:type="dxa"/>
            <w:vMerge w:val="continue"/>
            <w:tcBorders>
              <w:left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p>
        </w:tc>
        <w:tc>
          <w:tcPr>
            <w:tcW w:w="1080"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可持续影响指标</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进一步提高全办工作质量和水平，有效发挥先锋模范作用。</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效果显著</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效果显著</w:t>
            </w:r>
          </w:p>
        </w:tc>
        <w:tc>
          <w:tcPr>
            <w:tcW w:w="828"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10</w:t>
            </w:r>
          </w:p>
        </w:tc>
        <w:tc>
          <w:tcPr>
            <w:tcW w:w="873"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w:t>
            </w:r>
          </w:p>
        </w:tc>
        <w:tc>
          <w:tcPr>
            <w:tcW w:w="2196"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trHeight w:val="640" w:hRule="atLeast"/>
          <w:jc w:val="center"/>
        </w:trPr>
        <w:tc>
          <w:tcPr>
            <w:tcW w:w="1080" w:type="dxa"/>
            <w:vMerge w:val="continue"/>
            <w:tcBorders>
              <w:left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满意度</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指标</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（10分）</w:t>
            </w:r>
          </w:p>
        </w:tc>
        <w:tc>
          <w:tcPr>
            <w:tcW w:w="1080"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服务对象满意度指标</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群众满意度</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≥90%</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≥90%</w:t>
            </w:r>
          </w:p>
        </w:tc>
        <w:tc>
          <w:tcPr>
            <w:tcW w:w="828"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w:t>
            </w:r>
          </w:p>
        </w:tc>
        <w:tc>
          <w:tcPr>
            <w:tcW w:w="87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w:t>
            </w:r>
          </w:p>
        </w:tc>
        <w:tc>
          <w:tcPr>
            <w:tcW w:w="2196"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jc w:val="center"/>
        </w:trPr>
        <w:tc>
          <w:tcPr>
            <w:tcW w:w="6732" w:type="dxa"/>
            <w:gridSpan w:val="6"/>
            <w:tcBorders>
              <w:top w:val="single" w:color="auto" w:sz="4" w:space="0"/>
              <w:left w:val="single" w:color="auto" w:sz="4" w:space="0"/>
              <w:bottom w:val="single" w:color="auto" w:sz="4" w:space="0"/>
              <w:right w:val="single" w:color="000000"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总分</w:t>
            </w:r>
          </w:p>
        </w:tc>
        <w:tc>
          <w:tcPr>
            <w:tcW w:w="828"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100</w:t>
            </w:r>
          </w:p>
        </w:tc>
        <w:tc>
          <w:tcPr>
            <w:tcW w:w="873"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98</w:t>
            </w:r>
          </w:p>
        </w:tc>
        <w:tc>
          <w:tcPr>
            <w:tcW w:w="2196"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r>
    </w:tbl>
    <w:p>
      <w:pPr>
        <w:rPr>
          <w:rFonts w:ascii="Times New Roman" w:hAnsi="Times New Roman" w:eastAsia="仿宋_GB2312"/>
          <w:sz w:val="18"/>
          <w:szCs w:val="18"/>
        </w:rPr>
      </w:pPr>
    </w:p>
    <w:p>
      <w:pPr>
        <w:widowControl/>
        <w:spacing w:line="400" w:lineRule="exact"/>
        <w:jc w:val="left"/>
        <w:rPr>
          <w:rFonts w:hint="eastAsia"/>
          <w:lang w:eastAsia="zh-CN"/>
        </w:rPr>
      </w:pPr>
      <w:r>
        <w:rPr>
          <w:rFonts w:ascii="Times New Roman" w:hAnsi="Times New Roman" w:eastAsia="仿宋_GB2312"/>
          <w:sz w:val="18"/>
          <w:szCs w:val="18"/>
        </w:rPr>
        <w:t>备注：一个一级项目支出一张表。</w:t>
      </w:r>
      <w:r>
        <w:rPr>
          <w:rFonts w:hint="eastAsia" w:ascii="Times New Roman" w:hAnsi="Times New Roman" w:eastAsia="仿宋_GB2312"/>
          <w:sz w:val="18"/>
          <w:szCs w:val="18"/>
        </w:rPr>
        <w:t>如，</w:t>
      </w:r>
      <w:r>
        <w:rPr>
          <w:rFonts w:ascii="Times New Roman" w:hAnsi="Times New Roman" w:eastAsia="仿宋_GB2312"/>
          <w:sz w:val="18"/>
          <w:szCs w:val="18"/>
        </w:rPr>
        <w:t>业务工作经费</w:t>
      </w:r>
      <w:r>
        <w:rPr>
          <w:rFonts w:hint="eastAsia" w:ascii="Times New Roman" w:hAnsi="Times New Roman" w:eastAsia="仿宋_GB2312"/>
          <w:sz w:val="18"/>
          <w:szCs w:val="18"/>
        </w:rPr>
        <w:t>，</w:t>
      </w:r>
      <w:r>
        <w:rPr>
          <w:rFonts w:ascii="Times New Roman" w:hAnsi="Times New Roman" w:eastAsia="仿宋_GB2312"/>
          <w:sz w:val="18"/>
          <w:szCs w:val="18"/>
        </w:rPr>
        <w:t>运行维护经费</w:t>
      </w:r>
      <w:r>
        <w:rPr>
          <w:rFonts w:hint="eastAsia" w:ascii="Times New Roman" w:hAnsi="Times New Roman" w:eastAsia="仿宋_GB2312"/>
          <w:sz w:val="18"/>
          <w:szCs w:val="18"/>
        </w:rPr>
        <w:t>，其他事业发展类资金…各一张表。</w:t>
      </w:r>
      <w:r>
        <w:rPr>
          <w:rFonts w:ascii="Times New Roman" w:hAnsi="Times New Roman" w:eastAsia="仿宋_GB2312"/>
          <w:sz w:val="21"/>
          <w:szCs w:val="22"/>
        </w:rPr>
        <w:t>填表人：</w:t>
      </w:r>
      <w:r>
        <w:rPr>
          <w:rFonts w:hint="eastAsia" w:ascii="Times New Roman" w:hAnsi="Times New Roman" w:eastAsia="仿宋_GB2312"/>
          <w:sz w:val="21"/>
          <w:szCs w:val="22"/>
          <w:lang w:eastAsia="zh-CN"/>
        </w:rPr>
        <w:t>邓凡超</w:t>
      </w:r>
      <w:r>
        <w:rPr>
          <w:rFonts w:ascii="Times New Roman" w:hAnsi="Times New Roman" w:eastAsia="仿宋_GB2312"/>
          <w:sz w:val="21"/>
          <w:szCs w:val="22"/>
        </w:rPr>
        <w:t xml:space="preserve"> 填报日期：</w:t>
      </w:r>
      <w:r>
        <w:rPr>
          <w:rFonts w:hint="eastAsia" w:ascii="Times New Roman" w:hAnsi="Times New Roman" w:eastAsia="仿宋_GB2312"/>
          <w:sz w:val="21"/>
          <w:szCs w:val="22"/>
          <w:lang w:val="en-US" w:eastAsia="zh-CN"/>
        </w:rPr>
        <w:t>2025-5-15</w:t>
      </w:r>
      <w:r>
        <w:rPr>
          <w:rFonts w:ascii="Times New Roman" w:hAnsi="Times New Roman" w:eastAsia="仿宋_GB2312"/>
          <w:sz w:val="21"/>
          <w:szCs w:val="22"/>
        </w:rPr>
        <w:t>联系电话：</w:t>
      </w:r>
      <w:r>
        <w:rPr>
          <w:rFonts w:hint="eastAsia" w:ascii="Times New Roman" w:hAnsi="Times New Roman" w:eastAsia="仿宋_GB2312"/>
          <w:sz w:val="21"/>
          <w:szCs w:val="22"/>
          <w:lang w:val="en-US" w:eastAsia="zh-CN"/>
        </w:rPr>
        <w:t xml:space="preserve">19174099995 </w:t>
      </w:r>
      <w:r>
        <w:rPr>
          <w:rFonts w:ascii="Times New Roman" w:hAnsi="Times New Roman" w:eastAsia="仿宋_GB2312"/>
          <w:sz w:val="21"/>
          <w:szCs w:val="22"/>
        </w:rPr>
        <w:t xml:space="preserve"> 单位负责人签字：</w:t>
      </w:r>
      <w:r>
        <w:rPr>
          <w:rFonts w:hint="eastAsia" w:ascii="Times New Roman" w:hAnsi="Times New Roman" w:eastAsia="仿宋_GB2312"/>
          <w:sz w:val="21"/>
          <w:szCs w:val="22"/>
          <w:lang w:eastAsia="zh-CN"/>
        </w:rPr>
        <w:t>张新文</w:t>
      </w:r>
      <w:r>
        <w:rPr>
          <w:rFonts w:ascii="Times New Roman" w:hAnsi="Times New Roman" w:eastAsia="仿宋_GB2312"/>
          <w:sz w:val="21"/>
          <w:szCs w:val="22"/>
        </w:rPr>
        <w:br w:type="page"/>
      </w:r>
    </w:p>
    <w:p>
      <w:pPr>
        <w:widowControl/>
        <w:spacing w:line="600" w:lineRule="exact"/>
        <w:ind w:firstLine="1800" w:firstLineChars="500"/>
        <w:rPr>
          <w:rFonts w:ascii="方正小标宋简体" w:hAnsi="方正小标宋简体" w:eastAsia="方正小标宋简体" w:cs="方正小标宋简体"/>
          <w:color w:val="000000"/>
          <w:sz w:val="36"/>
          <w:szCs w:val="36"/>
        </w:rPr>
      </w:pPr>
      <w:r>
        <w:rPr>
          <w:rFonts w:hint="eastAsia" w:ascii="方正小标宋简体" w:hAnsi="方正小标宋简体" w:eastAsia="方正小标宋简体" w:cs="方正小标宋简体"/>
          <w:color w:val="000000"/>
          <w:sz w:val="36"/>
          <w:szCs w:val="36"/>
        </w:rPr>
        <w:t>2024年度项目支出绩效自评表</w:t>
      </w:r>
    </w:p>
    <w:tbl>
      <w:tblPr>
        <w:tblStyle w:val="7"/>
        <w:tblW w:w="10629" w:type="dxa"/>
        <w:jc w:val="center"/>
        <w:tblLayout w:type="autofit"/>
        <w:tblCellMar>
          <w:top w:w="0" w:type="dxa"/>
          <w:left w:w="108" w:type="dxa"/>
          <w:bottom w:w="0" w:type="dxa"/>
          <w:right w:w="108" w:type="dxa"/>
        </w:tblCellMar>
      </w:tblPr>
      <w:tblGrid>
        <w:gridCol w:w="1080"/>
        <w:gridCol w:w="1080"/>
        <w:gridCol w:w="1080"/>
        <w:gridCol w:w="1224"/>
        <w:gridCol w:w="1134"/>
        <w:gridCol w:w="1134"/>
        <w:gridCol w:w="828"/>
        <w:gridCol w:w="873"/>
        <w:gridCol w:w="2196"/>
      </w:tblGrid>
      <w:tr>
        <w:tblPrEx>
          <w:tblCellMar>
            <w:top w:w="0" w:type="dxa"/>
            <w:left w:w="108" w:type="dxa"/>
            <w:bottom w:w="0" w:type="dxa"/>
            <w:right w:w="108" w:type="dxa"/>
          </w:tblCellMar>
        </w:tblPrEx>
        <w:trPr>
          <w:trHeight w:val="465" w:hRule="atLeast"/>
          <w:jc w:val="center"/>
        </w:trPr>
        <w:tc>
          <w:tcPr>
            <w:tcW w:w="1080"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项目支</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出名称</w:t>
            </w:r>
          </w:p>
        </w:tc>
        <w:tc>
          <w:tcPr>
            <w:tcW w:w="9549" w:type="dxa"/>
            <w:gridSpan w:val="8"/>
            <w:tcBorders>
              <w:top w:val="single" w:color="auto" w:sz="4" w:space="0"/>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社区运转保障经费</w:t>
            </w:r>
          </w:p>
        </w:tc>
      </w:tr>
      <w:tr>
        <w:tblPrEx>
          <w:tblCellMar>
            <w:top w:w="0" w:type="dxa"/>
            <w:left w:w="108" w:type="dxa"/>
            <w:bottom w:w="0" w:type="dxa"/>
            <w:right w:w="108" w:type="dxa"/>
          </w:tblCellMar>
        </w:tblPrEx>
        <w:trPr>
          <w:jc w:val="center"/>
        </w:trPr>
        <w:tc>
          <w:tcPr>
            <w:tcW w:w="1080" w:type="dxa"/>
            <w:tcBorders>
              <w:top w:val="nil"/>
              <w:left w:val="single" w:color="auto" w:sz="4" w:space="0"/>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主管部门</w:t>
            </w:r>
          </w:p>
        </w:tc>
        <w:tc>
          <w:tcPr>
            <w:tcW w:w="4518" w:type="dxa"/>
            <w:gridSpan w:val="4"/>
            <w:tcBorders>
              <w:top w:val="single" w:color="auto" w:sz="4" w:space="0"/>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中共岳阳市君山区委组织部</w:t>
            </w:r>
          </w:p>
        </w:tc>
        <w:tc>
          <w:tcPr>
            <w:tcW w:w="1134" w:type="dxa"/>
            <w:tcBorders>
              <w:top w:val="single" w:color="auto" w:sz="4" w:space="0"/>
              <w:left w:val="nil"/>
              <w:bottom w:val="single" w:color="auto" w:sz="4" w:space="0"/>
              <w:right w:val="single" w:color="000000"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实施单位</w:t>
            </w:r>
          </w:p>
        </w:tc>
        <w:tc>
          <w:tcPr>
            <w:tcW w:w="3897" w:type="dxa"/>
            <w:gridSpan w:val="3"/>
            <w:tcBorders>
              <w:top w:val="single" w:color="auto" w:sz="4" w:space="0"/>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中共岳阳市君山区委组织部</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bottom w:val="single" w:color="000000"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项目资金</w:t>
            </w:r>
            <w:r>
              <w:rPr>
                <w:rFonts w:hint="eastAsia" w:ascii="仿宋_GB2312" w:hAnsi="仿宋_GB2312" w:eastAsia="仿宋_GB2312" w:cs="仿宋_GB2312"/>
                <w:color w:val="000000"/>
                <w:sz w:val="20"/>
                <w:szCs w:val="20"/>
              </w:rPr>
              <w:br w:type="textWrapping"/>
            </w:r>
            <w:r>
              <w:rPr>
                <w:rFonts w:hint="eastAsia" w:ascii="仿宋_GB2312" w:hAnsi="仿宋_GB2312" w:eastAsia="仿宋_GB2312" w:cs="仿宋_GB2312"/>
                <w:color w:val="000000"/>
                <w:sz w:val="20"/>
                <w:szCs w:val="20"/>
              </w:rPr>
              <w:t>（万元）</w:t>
            </w:r>
          </w:p>
        </w:tc>
        <w:tc>
          <w:tcPr>
            <w:tcW w:w="2160" w:type="dxa"/>
            <w:gridSpan w:val="2"/>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1224"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年初</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预算数</w:t>
            </w:r>
          </w:p>
        </w:tc>
        <w:tc>
          <w:tcPr>
            <w:tcW w:w="1134"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全年</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预算数</w:t>
            </w:r>
          </w:p>
        </w:tc>
        <w:tc>
          <w:tcPr>
            <w:tcW w:w="1134" w:type="dxa"/>
            <w:tcBorders>
              <w:top w:val="nil"/>
              <w:left w:val="nil"/>
              <w:bottom w:val="single" w:color="auto" w:sz="4" w:space="0"/>
              <w:right w:val="single" w:color="auto" w:sz="4" w:space="0"/>
            </w:tcBorders>
            <w:noWrap/>
            <w:vAlign w:val="center"/>
          </w:tcPr>
          <w:p>
            <w:pPr>
              <w:spacing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全年</w:t>
            </w:r>
          </w:p>
          <w:p>
            <w:pPr>
              <w:spacing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执行数</w:t>
            </w:r>
          </w:p>
        </w:tc>
        <w:tc>
          <w:tcPr>
            <w:tcW w:w="828" w:type="dxa"/>
            <w:tcBorders>
              <w:top w:val="nil"/>
              <w:left w:val="nil"/>
              <w:bottom w:val="single" w:color="auto" w:sz="4" w:space="0"/>
              <w:right w:val="single" w:color="auto" w:sz="4" w:space="0"/>
            </w:tcBorders>
            <w:noWrap/>
            <w:vAlign w:val="center"/>
          </w:tcPr>
          <w:p>
            <w:pPr>
              <w:spacing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分值</w:t>
            </w:r>
          </w:p>
        </w:tc>
        <w:tc>
          <w:tcPr>
            <w:tcW w:w="873" w:type="dxa"/>
            <w:tcBorders>
              <w:top w:val="nil"/>
              <w:left w:val="nil"/>
              <w:bottom w:val="single" w:color="auto" w:sz="4" w:space="0"/>
              <w:right w:val="single" w:color="auto" w:sz="4" w:space="0"/>
            </w:tcBorders>
            <w:noWrap/>
            <w:vAlign w:val="center"/>
          </w:tcPr>
          <w:p>
            <w:pPr>
              <w:spacing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执行率</w:t>
            </w:r>
          </w:p>
        </w:tc>
        <w:tc>
          <w:tcPr>
            <w:tcW w:w="2196" w:type="dxa"/>
            <w:tcBorders>
              <w:top w:val="nil"/>
              <w:left w:val="nil"/>
              <w:bottom w:val="single" w:color="auto" w:sz="4" w:space="0"/>
              <w:right w:val="single" w:color="auto" w:sz="4" w:space="0"/>
            </w:tcBorders>
            <w:noWrap/>
            <w:vAlign w:val="center"/>
          </w:tcPr>
          <w:p>
            <w:pPr>
              <w:spacing w:line="260" w:lineRule="exact"/>
              <w:jc w:val="center"/>
              <w:rPr>
                <w:rFonts w:ascii="仿宋_GB2312" w:hAnsi="仿宋_GB2312" w:eastAsia="仿宋_GB2312" w:cs="仿宋_GB2312"/>
                <w:sz w:val="20"/>
                <w:szCs w:val="20"/>
              </w:rPr>
            </w:pPr>
            <w:r>
              <w:rPr>
                <w:rFonts w:hint="eastAsia" w:ascii="仿宋_GB2312" w:hAnsi="仿宋_GB2312" w:eastAsia="仿宋_GB2312" w:cs="仿宋_GB2312"/>
                <w:sz w:val="20"/>
                <w:szCs w:val="20"/>
              </w:rPr>
              <w:t>得分</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p>
        </w:tc>
        <w:tc>
          <w:tcPr>
            <w:tcW w:w="2160" w:type="dxa"/>
            <w:gridSpan w:val="2"/>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年度资金总额　</w:t>
            </w:r>
          </w:p>
        </w:tc>
        <w:tc>
          <w:tcPr>
            <w:tcW w:w="1224"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343.8</w:t>
            </w:r>
          </w:p>
        </w:tc>
        <w:tc>
          <w:tcPr>
            <w:tcW w:w="1134"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343.8</w:t>
            </w:r>
          </w:p>
        </w:tc>
        <w:tc>
          <w:tcPr>
            <w:tcW w:w="1134"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343.8</w:t>
            </w:r>
          </w:p>
        </w:tc>
        <w:tc>
          <w:tcPr>
            <w:tcW w:w="828"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10</w:t>
            </w:r>
          </w:p>
        </w:tc>
        <w:tc>
          <w:tcPr>
            <w:tcW w:w="873"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100</w:t>
            </w:r>
          </w:p>
        </w:tc>
        <w:tc>
          <w:tcPr>
            <w:tcW w:w="2196"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10</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p>
        </w:tc>
        <w:tc>
          <w:tcPr>
            <w:tcW w:w="2160" w:type="dxa"/>
            <w:gridSpan w:val="2"/>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其中：当年财政拨款　</w:t>
            </w:r>
          </w:p>
        </w:tc>
        <w:tc>
          <w:tcPr>
            <w:tcW w:w="1224"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343.8</w:t>
            </w:r>
          </w:p>
        </w:tc>
        <w:tc>
          <w:tcPr>
            <w:tcW w:w="1134"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343.8</w:t>
            </w:r>
          </w:p>
        </w:tc>
        <w:tc>
          <w:tcPr>
            <w:tcW w:w="1134"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343.8</w:t>
            </w:r>
          </w:p>
        </w:tc>
        <w:tc>
          <w:tcPr>
            <w:tcW w:w="828"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873"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2196"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p>
        </w:tc>
        <w:tc>
          <w:tcPr>
            <w:tcW w:w="2160" w:type="dxa"/>
            <w:gridSpan w:val="2"/>
            <w:tcBorders>
              <w:top w:val="nil"/>
              <w:left w:val="nil"/>
              <w:bottom w:val="single" w:color="auto" w:sz="4" w:space="0"/>
              <w:right w:val="single" w:color="auto" w:sz="4" w:space="0"/>
            </w:tcBorders>
            <w:noWrap/>
            <w:vAlign w:val="center"/>
          </w:tcPr>
          <w:p>
            <w:pPr>
              <w:widowControl/>
              <w:spacing w:line="260" w:lineRule="exact"/>
              <w:ind w:firstLine="600" w:firstLineChars="300"/>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上年结转资金　</w:t>
            </w:r>
          </w:p>
        </w:tc>
        <w:tc>
          <w:tcPr>
            <w:tcW w:w="1224"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1134"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1134"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828"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873"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2196"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r>
      <w:tr>
        <w:tblPrEx>
          <w:tblCellMar>
            <w:top w:w="0" w:type="dxa"/>
            <w:left w:w="108" w:type="dxa"/>
            <w:bottom w:w="0" w:type="dxa"/>
            <w:right w:w="108" w:type="dxa"/>
          </w:tblCellMar>
        </w:tblPrEx>
        <w:trPr>
          <w:trHeight w:val="90" w:hRule="atLeast"/>
          <w:jc w:val="center"/>
        </w:trPr>
        <w:tc>
          <w:tcPr>
            <w:tcW w:w="1080" w:type="dxa"/>
            <w:vMerge w:val="continue"/>
            <w:tcBorders>
              <w:top w:val="nil"/>
              <w:left w:val="single" w:color="auto" w:sz="4" w:space="0"/>
              <w:bottom w:val="single" w:color="000000"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p>
        </w:tc>
        <w:tc>
          <w:tcPr>
            <w:tcW w:w="2160" w:type="dxa"/>
            <w:gridSpan w:val="2"/>
            <w:tcBorders>
              <w:top w:val="nil"/>
              <w:left w:val="nil"/>
              <w:bottom w:val="single" w:color="auto" w:sz="4" w:space="0"/>
              <w:right w:val="single" w:color="auto" w:sz="4" w:space="0"/>
            </w:tcBorders>
            <w:noWrap/>
            <w:vAlign w:val="center"/>
          </w:tcPr>
          <w:p>
            <w:pPr>
              <w:widowControl/>
              <w:spacing w:line="260" w:lineRule="exact"/>
              <w:ind w:firstLine="600" w:firstLineChars="300"/>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其他资金</w:t>
            </w:r>
          </w:p>
        </w:tc>
        <w:tc>
          <w:tcPr>
            <w:tcW w:w="1224"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1134"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1134"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828"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873"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2196"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r>
      <w:tr>
        <w:trPr>
          <w:jc w:val="center"/>
        </w:trPr>
        <w:tc>
          <w:tcPr>
            <w:tcW w:w="1080" w:type="dxa"/>
            <w:vMerge w:val="restart"/>
            <w:tcBorders>
              <w:top w:val="nil"/>
              <w:left w:val="single" w:color="auto" w:sz="4" w:space="0"/>
              <w:bottom w:val="single" w:color="000000"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年度总体目标</w:t>
            </w:r>
          </w:p>
        </w:tc>
        <w:tc>
          <w:tcPr>
            <w:tcW w:w="4518" w:type="dxa"/>
            <w:gridSpan w:val="4"/>
            <w:tcBorders>
              <w:top w:val="single" w:color="auto" w:sz="4" w:space="0"/>
              <w:left w:val="nil"/>
              <w:bottom w:val="single" w:color="auto" w:sz="4" w:space="0"/>
              <w:right w:val="single" w:color="000000"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预期目标</w:t>
            </w:r>
          </w:p>
        </w:tc>
        <w:tc>
          <w:tcPr>
            <w:tcW w:w="5031" w:type="dxa"/>
            <w:gridSpan w:val="4"/>
            <w:tcBorders>
              <w:top w:val="single" w:color="auto" w:sz="4" w:space="0"/>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实际完成情况　</w:t>
            </w:r>
          </w:p>
        </w:tc>
      </w:tr>
      <w:tr>
        <w:tblPrEx>
          <w:tblCellMar>
            <w:top w:w="0" w:type="dxa"/>
            <w:left w:w="108" w:type="dxa"/>
            <w:bottom w:w="0" w:type="dxa"/>
            <w:right w:w="108" w:type="dxa"/>
          </w:tblCellMar>
        </w:tblPrEx>
        <w:trPr>
          <w:trHeight w:val="523" w:hRule="atLeast"/>
          <w:jc w:val="center"/>
        </w:trPr>
        <w:tc>
          <w:tcPr>
            <w:tcW w:w="1080" w:type="dxa"/>
            <w:vMerge w:val="continue"/>
            <w:tcBorders>
              <w:top w:val="nil"/>
              <w:left w:val="single" w:color="auto" w:sz="4" w:space="0"/>
              <w:bottom w:val="single" w:color="000000"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p>
        </w:tc>
        <w:tc>
          <w:tcPr>
            <w:tcW w:w="4518" w:type="dxa"/>
            <w:gridSpan w:val="4"/>
            <w:tcBorders>
              <w:top w:val="single" w:color="auto" w:sz="4" w:space="0"/>
              <w:left w:val="nil"/>
              <w:bottom w:val="single" w:color="auto" w:sz="4" w:space="0"/>
              <w:right w:val="single" w:color="000000" w:sz="4" w:space="0"/>
            </w:tcBorders>
            <w:noWrap/>
            <w:vAlign w:val="center"/>
          </w:tcPr>
          <w:p>
            <w:pPr>
              <w:pStyle w:val="2"/>
              <w:ind w:left="420" w:firstLine="400"/>
              <w:rPr>
                <w:rFonts w:ascii="仿宋_GB2312" w:hAnsi="仿宋_GB2312" w:eastAsia="仿宋_GB2312" w:cs="仿宋_GB2312"/>
                <w:color w:val="000000"/>
                <w:sz w:val="20"/>
                <w:szCs w:val="20"/>
                <w:lang w:eastAsia="zh-CN"/>
              </w:rPr>
            </w:pPr>
            <w:r>
              <w:rPr>
                <w:rFonts w:hint="eastAsia" w:ascii="仿宋_GB2312" w:hAnsi="仿宋_GB2312" w:eastAsia="仿宋_GB2312" w:cs="仿宋_GB2312"/>
                <w:color w:val="000000"/>
                <w:sz w:val="20"/>
                <w:szCs w:val="20"/>
                <w:lang w:eastAsia="zh-CN"/>
              </w:rPr>
              <w:t>按时拨付社区组织运转经费，保障22</w:t>
            </w:r>
            <w:r>
              <w:rPr>
                <w:rFonts w:ascii="仿宋_GB2312" w:hAnsi="仿宋_GB2312" w:eastAsia="仿宋_GB2312" w:cs="仿宋_GB2312"/>
                <w:color w:val="000000"/>
                <w:sz w:val="20"/>
                <w:szCs w:val="20"/>
                <w:lang w:eastAsia="zh-CN"/>
              </w:rPr>
              <w:t>个社区组织正常运转。</w:t>
            </w:r>
          </w:p>
        </w:tc>
        <w:tc>
          <w:tcPr>
            <w:tcW w:w="5031" w:type="dxa"/>
            <w:gridSpan w:val="4"/>
            <w:tcBorders>
              <w:top w:val="single" w:color="auto" w:sz="4" w:space="0"/>
              <w:left w:val="nil"/>
              <w:bottom w:val="single" w:color="auto" w:sz="4" w:space="0"/>
              <w:right w:val="single" w:color="auto" w:sz="4" w:space="0"/>
            </w:tcBorders>
            <w:noWrap/>
            <w:vAlign w:val="center"/>
          </w:tcPr>
          <w:p>
            <w:pPr>
              <w:pStyle w:val="2"/>
              <w:rPr>
                <w:rFonts w:ascii="仿宋_GB2312" w:hAnsi="仿宋_GB2312" w:eastAsia="仿宋_GB2312" w:cs="仿宋_GB2312"/>
                <w:color w:val="000000"/>
                <w:sz w:val="20"/>
                <w:szCs w:val="20"/>
                <w:lang w:eastAsia="zh-CN"/>
              </w:rPr>
            </w:pPr>
            <w:r>
              <w:rPr>
                <w:rFonts w:hint="eastAsia" w:ascii="仿宋_GB2312" w:hAnsi="仿宋_GB2312" w:eastAsia="仿宋_GB2312" w:cs="仿宋_GB2312"/>
                <w:color w:val="000000"/>
                <w:sz w:val="20"/>
                <w:szCs w:val="20"/>
                <w:lang w:eastAsia="zh-CN"/>
              </w:rPr>
              <w:t>确保社区工作人员报酬发放，社区办公经费合理支出及其他必要开支，全年社区工作运转正常。</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绩</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效</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指</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标</w:t>
            </w:r>
          </w:p>
        </w:tc>
        <w:tc>
          <w:tcPr>
            <w:tcW w:w="1080"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一级指标</w:t>
            </w:r>
          </w:p>
        </w:tc>
        <w:tc>
          <w:tcPr>
            <w:tcW w:w="1080"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二级指标</w:t>
            </w:r>
          </w:p>
        </w:tc>
        <w:tc>
          <w:tcPr>
            <w:tcW w:w="1224"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三级指标</w:t>
            </w:r>
          </w:p>
        </w:tc>
        <w:tc>
          <w:tcPr>
            <w:tcW w:w="1134"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年度</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指标值</w:t>
            </w:r>
          </w:p>
        </w:tc>
        <w:tc>
          <w:tcPr>
            <w:tcW w:w="1134"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实际</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完成值</w:t>
            </w:r>
          </w:p>
        </w:tc>
        <w:tc>
          <w:tcPr>
            <w:tcW w:w="828"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分值</w:t>
            </w:r>
          </w:p>
        </w:tc>
        <w:tc>
          <w:tcPr>
            <w:tcW w:w="873"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得分</w:t>
            </w:r>
          </w:p>
        </w:tc>
        <w:tc>
          <w:tcPr>
            <w:tcW w:w="2196" w:type="dxa"/>
            <w:tcBorders>
              <w:top w:val="nil"/>
              <w:left w:val="nil"/>
              <w:bottom w:val="single" w:color="auto" w:sz="4" w:space="0"/>
              <w:right w:val="single" w:color="auto" w:sz="4" w:space="0"/>
            </w:tcBorders>
            <w:noWrap/>
            <w:vAlign w:val="center"/>
          </w:tcPr>
          <w:p>
            <w:pPr>
              <w:widowControl/>
              <w:spacing w:line="260" w:lineRule="exac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偏差原因分析及改进措施</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产出指标</w:t>
            </w:r>
          </w:p>
          <w:p>
            <w:pPr>
              <w:widowControl/>
              <w:spacing w:line="260" w:lineRule="exact"/>
              <w:jc w:val="center"/>
              <w:rPr>
                <w:rFonts w:ascii="仿宋_GB2312" w:hAnsi="仿宋_GB2312" w:eastAsia="仿宋_GB2312" w:cs="仿宋_GB2312"/>
                <w:color w:val="000000"/>
                <w:sz w:val="20"/>
                <w:szCs w:val="20"/>
              </w:rPr>
            </w:pP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(40分)</w:t>
            </w:r>
          </w:p>
        </w:tc>
        <w:tc>
          <w:tcPr>
            <w:tcW w:w="1080"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数量指标</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运转经费保障社区</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≥22个</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ind w:firstLine="200" w:firstLineChars="100"/>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已完成</w:t>
            </w:r>
          </w:p>
        </w:tc>
        <w:tc>
          <w:tcPr>
            <w:tcW w:w="828"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10</w:t>
            </w:r>
          </w:p>
        </w:tc>
        <w:tc>
          <w:tcPr>
            <w:tcW w:w="873"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10</w:t>
            </w:r>
          </w:p>
        </w:tc>
        <w:tc>
          <w:tcPr>
            <w:tcW w:w="2196"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trHeight w:val="655" w:hRule="atLeast"/>
          <w:jc w:val="center"/>
        </w:trPr>
        <w:tc>
          <w:tcPr>
            <w:tcW w:w="1080" w:type="dxa"/>
            <w:vMerge w:val="continue"/>
            <w:tcBorders>
              <w:left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ascii="仿宋_GB2312" w:hAnsi="仿宋_GB2312" w:eastAsia="仿宋_GB2312" w:cs="仿宋_GB2312"/>
                <w:color w:val="000000"/>
                <w:sz w:val="20"/>
                <w:szCs w:val="20"/>
              </w:rPr>
            </w:pP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社区干部工资发放人数</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在编人员</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在编人员</w:t>
            </w:r>
          </w:p>
        </w:tc>
        <w:tc>
          <w:tcPr>
            <w:tcW w:w="828"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10</w:t>
            </w:r>
          </w:p>
        </w:tc>
        <w:tc>
          <w:tcPr>
            <w:tcW w:w="873"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10</w:t>
            </w:r>
          </w:p>
        </w:tc>
        <w:tc>
          <w:tcPr>
            <w:tcW w:w="2196"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trHeight w:val="505" w:hRule="atLeast"/>
          <w:jc w:val="center"/>
        </w:trPr>
        <w:tc>
          <w:tcPr>
            <w:tcW w:w="1080" w:type="dxa"/>
            <w:vMerge w:val="continue"/>
            <w:tcBorders>
              <w:left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质量指标</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工资到位率</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=100%</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ind w:firstLine="200" w:firstLineChars="100"/>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100%</w:t>
            </w:r>
          </w:p>
        </w:tc>
        <w:tc>
          <w:tcPr>
            <w:tcW w:w="828"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87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2196"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60" w:lineRule="exact"/>
              <w:jc w:val="center"/>
              <w:rPr>
                <w:rFonts w:ascii="仿宋_GB2312" w:hAnsi="仿宋_GB2312" w:eastAsia="仿宋_GB2312" w:cs="仿宋_GB2312"/>
                <w:color w:val="000000"/>
                <w:sz w:val="20"/>
                <w:szCs w:val="20"/>
              </w:rPr>
            </w:pP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经费拨付合规率</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=100%</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=100%</w:t>
            </w:r>
          </w:p>
        </w:tc>
        <w:tc>
          <w:tcPr>
            <w:tcW w:w="828"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5</w:t>
            </w:r>
          </w:p>
        </w:tc>
        <w:tc>
          <w:tcPr>
            <w:tcW w:w="873"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5</w:t>
            </w:r>
          </w:p>
        </w:tc>
        <w:tc>
          <w:tcPr>
            <w:tcW w:w="2196"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时效指标</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年度各项任务完成期限</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2024年12月31日前</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2024年12月20日前</w:t>
            </w:r>
          </w:p>
        </w:tc>
        <w:tc>
          <w:tcPr>
            <w:tcW w:w="828"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5</w:t>
            </w:r>
          </w:p>
        </w:tc>
        <w:tc>
          <w:tcPr>
            <w:tcW w:w="87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2196"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rPr>
          <w:jc w:val="center"/>
        </w:trPr>
        <w:tc>
          <w:tcPr>
            <w:tcW w:w="1080" w:type="dxa"/>
            <w:vMerge w:val="continue"/>
            <w:tcBorders>
              <w:left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成本指标</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预算控制率</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宋体" w:hAnsi="宋体" w:cs="宋体"/>
                <w:color w:val="000000"/>
                <w:sz w:val="20"/>
                <w:szCs w:val="20"/>
              </w:rPr>
              <w:t>≦</w:t>
            </w:r>
            <w:r>
              <w:rPr>
                <w:rFonts w:hint="eastAsia" w:ascii="仿宋_GB2312" w:hAnsi="仿宋_GB2312" w:eastAsia="仿宋_GB2312" w:cs="仿宋_GB2312"/>
                <w:color w:val="000000"/>
                <w:sz w:val="20"/>
                <w:szCs w:val="20"/>
              </w:rPr>
              <w:t>100%</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≦100%</w:t>
            </w:r>
          </w:p>
        </w:tc>
        <w:tc>
          <w:tcPr>
            <w:tcW w:w="828"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87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5</w:t>
            </w:r>
          </w:p>
        </w:tc>
        <w:tc>
          <w:tcPr>
            <w:tcW w:w="2196"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效益指标</w:t>
            </w:r>
          </w:p>
          <w:p>
            <w:pPr>
              <w:widowControl/>
              <w:spacing w:line="260" w:lineRule="exact"/>
              <w:jc w:val="left"/>
              <w:rPr>
                <w:rFonts w:ascii="仿宋_GB2312" w:hAnsi="仿宋_GB2312" w:eastAsia="仿宋_GB2312" w:cs="仿宋_GB2312"/>
                <w:color w:val="000000"/>
                <w:sz w:val="20"/>
                <w:szCs w:val="20"/>
              </w:rPr>
            </w:pPr>
          </w:p>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（40分）</w:t>
            </w:r>
          </w:p>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c>
          <w:tcPr>
            <w:tcW w:w="1080"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经济效</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益指标</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促进当地经济发展</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ind w:firstLine="400" w:firstLineChars="200"/>
              <w:jc w:val="left"/>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定性</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有效推动</w:t>
            </w:r>
          </w:p>
        </w:tc>
        <w:tc>
          <w:tcPr>
            <w:tcW w:w="828"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10</w:t>
            </w:r>
          </w:p>
        </w:tc>
        <w:tc>
          <w:tcPr>
            <w:tcW w:w="87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8</w:t>
            </w:r>
          </w:p>
        </w:tc>
        <w:tc>
          <w:tcPr>
            <w:tcW w:w="2196" w:type="dxa"/>
            <w:tcBorders>
              <w:top w:val="nil"/>
              <w:left w:val="nil"/>
              <w:bottom w:val="single" w:color="auto" w:sz="4" w:space="0"/>
              <w:right w:val="single" w:color="auto" w:sz="4" w:space="0"/>
            </w:tcBorders>
            <w:noWrap/>
            <w:vAlign w:val="center"/>
          </w:tcPr>
          <w:p>
            <w:pPr>
              <w:widowControl/>
              <w:spacing w:line="240" w:lineRule="exact"/>
              <w:ind w:firstLine="200" w:firstLineChars="100"/>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需进一步提升经济考核指标</w:t>
            </w:r>
          </w:p>
        </w:tc>
      </w:tr>
      <w:tr>
        <w:tblPrEx>
          <w:tblCellMar>
            <w:top w:w="0" w:type="dxa"/>
            <w:left w:w="108" w:type="dxa"/>
            <w:bottom w:w="0" w:type="dxa"/>
            <w:right w:w="108" w:type="dxa"/>
          </w:tblCellMar>
        </w:tblPrEx>
        <w:trPr>
          <w:trHeight w:val="607" w:hRule="atLeast"/>
          <w:jc w:val="center"/>
        </w:trPr>
        <w:tc>
          <w:tcPr>
            <w:tcW w:w="1080" w:type="dxa"/>
            <w:vMerge w:val="continue"/>
            <w:tcBorders>
              <w:left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社会效</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益指标</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为乡村振兴提供了有力支撑</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ind w:firstLine="400" w:firstLineChars="200"/>
              <w:jc w:val="left"/>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定性</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有效提升</w:t>
            </w:r>
          </w:p>
        </w:tc>
        <w:tc>
          <w:tcPr>
            <w:tcW w:w="828"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10</w:t>
            </w:r>
          </w:p>
        </w:tc>
        <w:tc>
          <w:tcPr>
            <w:tcW w:w="87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w:t>
            </w:r>
          </w:p>
        </w:tc>
        <w:tc>
          <w:tcPr>
            <w:tcW w:w="2196"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trHeight w:val="490" w:hRule="atLeast"/>
          <w:jc w:val="center"/>
        </w:trPr>
        <w:tc>
          <w:tcPr>
            <w:tcW w:w="1080" w:type="dxa"/>
            <w:vMerge w:val="continue"/>
            <w:tcBorders>
              <w:left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生态效</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益指标</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不影响生态环境</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定性</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不影响</w:t>
            </w:r>
          </w:p>
        </w:tc>
        <w:tc>
          <w:tcPr>
            <w:tcW w:w="828" w:type="dxa"/>
            <w:tcBorders>
              <w:top w:val="nil"/>
              <w:left w:val="nil"/>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10</w:t>
            </w:r>
          </w:p>
        </w:tc>
        <w:tc>
          <w:tcPr>
            <w:tcW w:w="87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w:t>
            </w:r>
          </w:p>
        </w:tc>
        <w:tc>
          <w:tcPr>
            <w:tcW w:w="2196"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trHeight w:val="1330" w:hRule="atLeast"/>
          <w:jc w:val="center"/>
        </w:trPr>
        <w:tc>
          <w:tcPr>
            <w:tcW w:w="1080" w:type="dxa"/>
            <w:vMerge w:val="continue"/>
            <w:tcBorders>
              <w:left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p>
        </w:tc>
        <w:tc>
          <w:tcPr>
            <w:tcW w:w="1080" w:type="dxa"/>
            <w:vMerge w:val="continue"/>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p>
        </w:tc>
        <w:tc>
          <w:tcPr>
            <w:tcW w:w="1080"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可持续影响指标</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进一步提高全办工作质量和水平，有效发挥先锋模范作用。</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效果显著</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效果显著</w:t>
            </w:r>
          </w:p>
        </w:tc>
        <w:tc>
          <w:tcPr>
            <w:tcW w:w="828"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10</w:t>
            </w:r>
          </w:p>
        </w:tc>
        <w:tc>
          <w:tcPr>
            <w:tcW w:w="873"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w:t>
            </w:r>
          </w:p>
        </w:tc>
        <w:tc>
          <w:tcPr>
            <w:tcW w:w="2196"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trHeight w:val="640" w:hRule="atLeast"/>
          <w:jc w:val="center"/>
        </w:trPr>
        <w:tc>
          <w:tcPr>
            <w:tcW w:w="1080" w:type="dxa"/>
            <w:vMerge w:val="continue"/>
            <w:tcBorders>
              <w:left w:val="single" w:color="auto" w:sz="4" w:space="0"/>
              <w:right w:val="single" w:color="auto" w:sz="4" w:space="0"/>
            </w:tcBorders>
            <w:noWrap/>
            <w:vAlign w:val="center"/>
          </w:tcPr>
          <w:p>
            <w:pPr>
              <w:spacing w:line="260" w:lineRule="exact"/>
              <w:jc w:val="left"/>
              <w:rPr>
                <w:rFonts w:ascii="仿宋_GB2312" w:hAnsi="仿宋_GB2312" w:eastAsia="仿宋_GB2312" w:cs="仿宋_GB2312"/>
                <w:color w:val="000000"/>
                <w:sz w:val="20"/>
                <w:szCs w:val="20"/>
              </w:rPr>
            </w:pPr>
          </w:p>
        </w:tc>
        <w:tc>
          <w:tcPr>
            <w:tcW w:w="1080"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满意度</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指标</w:t>
            </w:r>
          </w:p>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（10分）</w:t>
            </w:r>
          </w:p>
        </w:tc>
        <w:tc>
          <w:tcPr>
            <w:tcW w:w="1080" w:type="dxa"/>
            <w:tcBorders>
              <w:top w:val="single" w:color="auto" w:sz="4" w:space="0"/>
              <w:left w:val="single" w:color="auto" w:sz="4" w:space="0"/>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服务对象满意度指标</w:t>
            </w:r>
          </w:p>
        </w:tc>
        <w:tc>
          <w:tcPr>
            <w:tcW w:w="122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群众满意度</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≥90%</w:t>
            </w:r>
          </w:p>
        </w:tc>
        <w:tc>
          <w:tcPr>
            <w:tcW w:w="1134"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≥90%</w:t>
            </w:r>
          </w:p>
        </w:tc>
        <w:tc>
          <w:tcPr>
            <w:tcW w:w="828"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w:t>
            </w:r>
          </w:p>
        </w:tc>
        <w:tc>
          <w:tcPr>
            <w:tcW w:w="873"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w:t>
            </w:r>
          </w:p>
        </w:tc>
        <w:tc>
          <w:tcPr>
            <w:tcW w:w="2196" w:type="dxa"/>
            <w:tcBorders>
              <w:top w:val="nil"/>
              <w:left w:val="nil"/>
              <w:bottom w:val="single" w:color="auto" w:sz="4" w:space="0"/>
              <w:right w:val="single" w:color="auto" w:sz="4" w:space="0"/>
            </w:tcBorders>
            <w:noWrap/>
            <w:vAlign w:val="center"/>
          </w:tcPr>
          <w:p>
            <w:pPr>
              <w:widowControl/>
              <w:spacing w:line="24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无偏差</w:t>
            </w:r>
          </w:p>
        </w:tc>
      </w:tr>
      <w:tr>
        <w:tblPrEx>
          <w:tblCellMar>
            <w:top w:w="0" w:type="dxa"/>
            <w:left w:w="108" w:type="dxa"/>
            <w:bottom w:w="0" w:type="dxa"/>
            <w:right w:w="108" w:type="dxa"/>
          </w:tblCellMar>
        </w:tblPrEx>
        <w:trPr>
          <w:jc w:val="center"/>
        </w:trPr>
        <w:tc>
          <w:tcPr>
            <w:tcW w:w="6732" w:type="dxa"/>
            <w:gridSpan w:val="6"/>
            <w:tcBorders>
              <w:top w:val="single" w:color="auto" w:sz="4" w:space="0"/>
              <w:left w:val="single" w:color="auto" w:sz="4" w:space="0"/>
              <w:bottom w:val="single" w:color="auto" w:sz="4" w:space="0"/>
              <w:right w:val="single" w:color="000000"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总分</w:t>
            </w:r>
          </w:p>
        </w:tc>
        <w:tc>
          <w:tcPr>
            <w:tcW w:w="828" w:type="dxa"/>
            <w:tcBorders>
              <w:top w:val="nil"/>
              <w:left w:val="nil"/>
              <w:bottom w:val="single" w:color="auto" w:sz="4" w:space="0"/>
              <w:right w:val="single" w:color="auto" w:sz="4" w:space="0"/>
            </w:tcBorders>
            <w:noWrap/>
            <w:vAlign w:val="center"/>
          </w:tcPr>
          <w:p>
            <w:pPr>
              <w:widowControl/>
              <w:spacing w:line="260" w:lineRule="exact"/>
              <w:jc w:val="center"/>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100</w:t>
            </w:r>
          </w:p>
        </w:tc>
        <w:tc>
          <w:tcPr>
            <w:tcW w:w="873"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98</w:t>
            </w:r>
          </w:p>
        </w:tc>
        <w:tc>
          <w:tcPr>
            <w:tcW w:w="2196" w:type="dxa"/>
            <w:tcBorders>
              <w:top w:val="nil"/>
              <w:left w:val="nil"/>
              <w:bottom w:val="single" w:color="auto" w:sz="4" w:space="0"/>
              <w:right w:val="single" w:color="auto" w:sz="4" w:space="0"/>
            </w:tcBorders>
            <w:noWrap/>
            <w:vAlign w:val="center"/>
          </w:tcPr>
          <w:p>
            <w:pPr>
              <w:widowControl/>
              <w:spacing w:line="260" w:lineRule="exact"/>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p>
        </w:tc>
      </w:tr>
    </w:tbl>
    <w:p>
      <w:pPr>
        <w:rPr>
          <w:rFonts w:ascii="Times New Roman" w:hAnsi="Times New Roman" w:eastAsia="仿宋_GB2312"/>
          <w:sz w:val="18"/>
          <w:szCs w:val="18"/>
        </w:rPr>
      </w:pPr>
    </w:p>
    <w:p>
      <w:pPr>
        <w:widowControl/>
        <w:spacing w:line="400" w:lineRule="exact"/>
        <w:jc w:val="left"/>
        <w:rPr>
          <w:rFonts w:ascii="黑体" w:hAnsi="黑体" w:eastAsia="黑体" w:cs="黑体"/>
          <w:sz w:val="28"/>
          <w:szCs w:val="28"/>
          <w:lang w:eastAsia="zh-CN"/>
        </w:rPr>
      </w:pPr>
      <w:r>
        <w:rPr>
          <w:rFonts w:ascii="Times New Roman" w:hAnsi="Times New Roman" w:eastAsia="仿宋_GB2312"/>
          <w:sz w:val="18"/>
          <w:szCs w:val="18"/>
        </w:rPr>
        <w:t>备注：一个一级项目支出一张表。</w:t>
      </w:r>
      <w:r>
        <w:rPr>
          <w:rFonts w:hint="eastAsia" w:ascii="Times New Roman" w:hAnsi="Times New Roman" w:eastAsia="仿宋_GB2312"/>
          <w:sz w:val="18"/>
          <w:szCs w:val="18"/>
        </w:rPr>
        <w:t>如，</w:t>
      </w:r>
      <w:r>
        <w:rPr>
          <w:rFonts w:ascii="Times New Roman" w:hAnsi="Times New Roman" w:eastAsia="仿宋_GB2312"/>
          <w:sz w:val="18"/>
          <w:szCs w:val="18"/>
        </w:rPr>
        <w:t>业务工作经费</w:t>
      </w:r>
      <w:r>
        <w:rPr>
          <w:rFonts w:hint="eastAsia" w:ascii="Times New Roman" w:hAnsi="Times New Roman" w:eastAsia="仿宋_GB2312"/>
          <w:sz w:val="18"/>
          <w:szCs w:val="18"/>
        </w:rPr>
        <w:t>，</w:t>
      </w:r>
      <w:r>
        <w:rPr>
          <w:rFonts w:ascii="Times New Roman" w:hAnsi="Times New Roman" w:eastAsia="仿宋_GB2312"/>
          <w:sz w:val="18"/>
          <w:szCs w:val="18"/>
        </w:rPr>
        <w:t>运行维护经费</w:t>
      </w:r>
      <w:r>
        <w:rPr>
          <w:rFonts w:hint="eastAsia" w:ascii="Times New Roman" w:hAnsi="Times New Roman" w:eastAsia="仿宋_GB2312"/>
          <w:sz w:val="18"/>
          <w:szCs w:val="18"/>
        </w:rPr>
        <w:t>，其他事业发展类资金…各一张表。</w:t>
      </w:r>
      <w:r>
        <w:rPr>
          <w:rFonts w:ascii="Times New Roman" w:hAnsi="Times New Roman" w:eastAsia="仿宋_GB2312"/>
          <w:sz w:val="21"/>
          <w:szCs w:val="22"/>
        </w:rPr>
        <w:t>填表人：</w:t>
      </w:r>
      <w:r>
        <w:rPr>
          <w:rFonts w:hint="eastAsia" w:ascii="Times New Roman" w:hAnsi="Times New Roman" w:eastAsia="仿宋_GB2312"/>
          <w:sz w:val="21"/>
          <w:szCs w:val="22"/>
          <w:lang w:eastAsia="zh-CN"/>
        </w:rPr>
        <w:t>邓凡超</w:t>
      </w:r>
      <w:r>
        <w:rPr>
          <w:rFonts w:ascii="Times New Roman" w:hAnsi="Times New Roman" w:eastAsia="仿宋_GB2312"/>
          <w:sz w:val="21"/>
          <w:szCs w:val="22"/>
        </w:rPr>
        <w:t xml:space="preserve"> 填报日期：</w:t>
      </w:r>
      <w:r>
        <w:rPr>
          <w:rFonts w:hint="eastAsia" w:ascii="Times New Roman" w:hAnsi="Times New Roman" w:eastAsia="仿宋_GB2312"/>
          <w:sz w:val="21"/>
          <w:szCs w:val="22"/>
          <w:lang w:val="en-US" w:eastAsia="zh-CN"/>
        </w:rPr>
        <w:t>2025-5-15</w:t>
      </w:r>
      <w:r>
        <w:rPr>
          <w:rFonts w:ascii="Times New Roman" w:hAnsi="Times New Roman" w:eastAsia="仿宋_GB2312"/>
          <w:sz w:val="21"/>
          <w:szCs w:val="22"/>
        </w:rPr>
        <w:t>联系电话：</w:t>
      </w:r>
      <w:r>
        <w:rPr>
          <w:rFonts w:hint="eastAsia" w:ascii="Times New Roman" w:hAnsi="Times New Roman" w:eastAsia="仿宋_GB2312"/>
          <w:sz w:val="21"/>
          <w:szCs w:val="22"/>
          <w:lang w:val="en-US" w:eastAsia="zh-CN"/>
        </w:rPr>
        <w:t xml:space="preserve">19174099995 </w:t>
      </w:r>
      <w:r>
        <w:rPr>
          <w:rFonts w:ascii="Times New Roman" w:hAnsi="Times New Roman" w:eastAsia="仿宋_GB2312"/>
          <w:sz w:val="21"/>
          <w:szCs w:val="22"/>
        </w:rPr>
        <w:t xml:space="preserve"> 单位负责人签字：</w:t>
      </w:r>
      <w:r>
        <w:rPr>
          <w:rFonts w:hint="eastAsia" w:ascii="Times New Roman" w:hAnsi="Times New Roman" w:eastAsia="仿宋_GB2312"/>
          <w:sz w:val="21"/>
          <w:szCs w:val="22"/>
          <w:lang w:eastAsia="zh-CN"/>
        </w:rPr>
        <w:t>张新文</w:t>
      </w:r>
      <w:bookmarkStart w:id="0" w:name="_GoBack"/>
      <w:bookmarkEnd w:id="0"/>
    </w:p>
    <w:sectPr>
      <w:pgSz w:w="11906" w:h="16838"/>
      <w:pgMar w:top="1100" w:right="1800" w:bottom="115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仿宋_GB2312">
    <w:altName w:val="方正仿宋_GBK"/>
    <w:panose1 w:val="00000000000000000000"/>
    <w:charset w:val="86"/>
    <w:family w:val="modern"/>
    <w:pitch w:val="default"/>
    <w:sig w:usb0="00000000" w:usb1="00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altName w:val="方正楷体_GBK"/>
    <w:panose1 w:val="00000000000000000000"/>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E55167"/>
    <w:multiLevelType w:val="singleLevel"/>
    <w:tmpl w:val="A5E55167"/>
    <w:lvl w:ilvl="0" w:tentative="0">
      <w:start w:val="8"/>
      <w:numFmt w:val="chineseCounting"/>
      <w:suff w:val="nothing"/>
      <w:lvlText w:val="%1、"/>
      <w:lvlJc w:val="left"/>
      <w:rPr>
        <w:rFonts w:hint="eastAsia"/>
      </w:rPr>
    </w:lvl>
  </w:abstractNum>
  <w:abstractNum w:abstractNumId="1">
    <w:nsid w:val="1113A4A2"/>
    <w:multiLevelType w:val="singleLevel"/>
    <w:tmpl w:val="1113A4A2"/>
    <w:lvl w:ilvl="0" w:tentative="0">
      <w:start w:val="1"/>
      <w:numFmt w:val="chineseCounting"/>
      <w:suff w:val="nothing"/>
      <w:lvlText w:val="（%1）"/>
      <w:lvlJc w:val="left"/>
      <w:rPr>
        <w:rFonts w:hint="eastAsia"/>
      </w:rPr>
    </w:lvl>
  </w:abstractNum>
  <w:abstractNum w:abstractNumId="2">
    <w:nsid w:val="425036FE"/>
    <w:multiLevelType w:val="singleLevel"/>
    <w:tmpl w:val="425036FE"/>
    <w:lvl w:ilvl="0" w:tentative="0">
      <w:start w:val="2"/>
      <w:numFmt w:val="chineseCounting"/>
      <w:suff w:val="nothing"/>
      <w:lvlText w:val="（%1）"/>
      <w:lvlJc w:val="left"/>
      <w:rPr>
        <w:rFonts w:hint="eastAsia"/>
      </w:rPr>
    </w:lvl>
  </w:abstractNum>
  <w:abstractNum w:abstractNumId="3">
    <w:nsid w:val="7F0490DB"/>
    <w:multiLevelType w:val="singleLevel"/>
    <w:tmpl w:val="7F0490DB"/>
    <w:lvl w:ilvl="0" w:tentative="0">
      <w:start w:val="1"/>
      <w:numFmt w:val="chineseCounting"/>
      <w:suff w:val="nothing"/>
      <w:lvlText w:val="%1、"/>
      <w:lvlJc w:val="left"/>
      <w:rPr>
        <w:rFonts w:hint="eastAsia"/>
      </w:rPr>
    </w:lvl>
  </w:abstractNum>
  <w:abstractNum w:abstractNumId="4">
    <w:nsid w:val="7F66692C"/>
    <w:multiLevelType w:val="singleLevel"/>
    <w:tmpl w:val="7F66692C"/>
    <w:lvl w:ilvl="0" w:tentative="0">
      <w:start w:val="3"/>
      <w:numFmt w:val="chineseCounting"/>
      <w:suff w:val="nothing"/>
      <w:lvlText w:val="（%1）"/>
      <w:lvlJc w:val="left"/>
      <w:rPr>
        <w:rFonts w:hint="eastAsia"/>
      </w:rPr>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k4OWI1YTBjMDVmMmNiM2E1MjU2ZTkzMDY0OTdlNjQifQ=="/>
  </w:docVars>
  <w:rsids>
    <w:rsidRoot w:val="59886344"/>
    <w:rsid w:val="00027463"/>
    <w:rsid w:val="00053969"/>
    <w:rsid w:val="000D7C3C"/>
    <w:rsid w:val="001038E1"/>
    <w:rsid w:val="00553828"/>
    <w:rsid w:val="005C088A"/>
    <w:rsid w:val="0061443A"/>
    <w:rsid w:val="00755D5E"/>
    <w:rsid w:val="007E7C4C"/>
    <w:rsid w:val="008F241B"/>
    <w:rsid w:val="00936561"/>
    <w:rsid w:val="00985423"/>
    <w:rsid w:val="00BF1DF4"/>
    <w:rsid w:val="00C5505D"/>
    <w:rsid w:val="00E61183"/>
    <w:rsid w:val="00F57038"/>
    <w:rsid w:val="019B7D82"/>
    <w:rsid w:val="02A7710C"/>
    <w:rsid w:val="03585F5D"/>
    <w:rsid w:val="0368705F"/>
    <w:rsid w:val="039F578D"/>
    <w:rsid w:val="03E40645"/>
    <w:rsid w:val="05193F25"/>
    <w:rsid w:val="05F16DA0"/>
    <w:rsid w:val="067D155B"/>
    <w:rsid w:val="072A0D5E"/>
    <w:rsid w:val="086E1AA3"/>
    <w:rsid w:val="08D531AA"/>
    <w:rsid w:val="08D81D86"/>
    <w:rsid w:val="0A0718F5"/>
    <w:rsid w:val="0A23066B"/>
    <w:rsid w:val="0B521208"/>
    <w:rsid w:val="0BD0037E"/>
    <w:rsid w:val="0BD07CC1"/>
    <w:rsid w:val="0F29227F"/>
    <w:rsid w:val="0FC41FA8"/>
    <w:rsid w:val="101F6442"/>
    <w:rsid w:val="104073FF"/>
    <w:rsid w:val="10616161"/>
    <w:rsid w:val="10B97633"/>
    <w:rsid w:val="114E4583"/>
    <w:rsid w:val="12D32267"/>
    <w:rsid w:val="13794251"/>
    <w:rsid w:val="13D670D0"/>
    <w:rsid w:val="13DA2702"/>
    <w:rsid w:val="1405311A"/>
    <w:rsid w:val="158226E9"/>
    <w:rsid w:val="15B556B4"/>
    <w:rsid w:val="172B2124"/>
    <w:rsid w:val="172D2B29"/>
    <w:rsid w:val="17AD2D85"/>
    <w:rsid w:val="17DC7904"/>
    <w:rsid w:val="18096877"/>
    <w:rsid w:val="18A72D74"/>
    <w:rsid w:val="192E77AB"/>
    <w:rsid w:val="1981715C"/>
    <w:rsid w:val="198A7D37"/>
    <w:rsid w:val="1A357D6B"/>
    <w:rsid w:val="1CA92FCC"/>
    <w:rsid w:val="1DD737EE"/>
    <w:rsid w:val="1E284F2F"/>
    <w:rsid w:val="1E74728F"/>
    <w:rsid w:val="1E90188F"/>
    <w:rsid w:val="1ECA401E"/>
    <w:rsid w:val="1F417171"/>
    <w:rsid w:val="1F9C4CF0"/>
    <w:rsid w:val="1F9F20EA"/>
    <w:rsid w:val="1FE411A4"/>
    <w:rsid w:val="20717F2A"/>
    <w:rsid w:val="20BF6616"/>
    <w:rsid w:val="20F87A39"/>
    <w:rsid w:val="216B6728"/>
    <w:rsid w:val="22F41D72"/>
    <w:rsid w:val="24BE2C1C"/>
    <w:rsid w:val="27CB7F20"/>
    <w:rsid w:val="28C15195"/>
    <w:rsid w:val="292C7FA1"/>
    <w:rsid w:val="2A100353"/>
    <w:rsid w:val="2A450AA9"/>
    <w:rsid w:val="2A8D3BB3"/>
    <w:rsid w:val="2AF144AD"/>
    <w:rsid w:val="2B0F3E96"/>
    <w:rsid w:val="2BAA0E41"/>
    <w:rsid w:val="2BD7D5D2"/>
    <w:rsid w:val="2C7D37B3"/>
    <w:rsid w:val="2D410C84"/>
    <w:rsid w:val="2D4657EE"/>
    <w:rsid w:val="2F0E4B96"/>
    <w:rsid w:val="2F2045CC"/>
    <w:rsid w:val="317A4765"/>
    <w:rsid w:val="320B53DF"/>
    <w:rsid w:val="321D3FE2"/>
    <w:rsid w:val="32C548F8"/>
    <w:rsid w:val="338F7C73"/>
    <w:rsid w:val="345535FE"/>
    <w:rsid w:val="34583820"/>
    <w:rsid w:val="35CF5E74"/>
    <w:rsid w:val="38C118F0"/>
    <w:rsid w:val="3AE07D2F"/>
    <w:rsid w:val="3B23785C"/>
    <w:rsid w:val="3C156456"/>
    <w:rsid w:val="3C2C64D2"/>
    <w:rsid w:val="3CB537CF"/>
    <w:rsid w:val="3CF73497"/>
    <w:rsid w:val="3D070645"/>
    <w:rsid w:val="3F696B11"/>
    <w:rsid w:val="3FBF7D19"/>
    <w:rsid w:val="40F273ED"/>
    <w:rsid w:val="411424E0"/>
    <w:rsid w:val="413F344D"/>
    <w:rsid w:val="41B63929"/>
    <w:rsid w:val="41F76A00"/>
    <w:rsid w:val="42182D4E"/>
    <w:rsid w:val="422E137F"/>
    <w:rsid w:val="427C2F78"/>
    <w:rsid w:val="42907FB1"/>
    <w:rsid w:val="43B151C2"/>
    <w:rsid w:val="440B0BF3"/>
    <w:rsid w:val="44182F4F"/>
    <w:rsid w:val="44401EAB"/>
    <w:rsid w:val="4441183E"/>
    <w:rsid w:val="445265DF"/>
    <w:rsid w:val="44930287"/>
    <w:rsid w:val="458D5615"/>
    <w:rsid w:val="45E61CF8"/>
    <w:rsid w:val="45F04BD0"/>
    <w:rsid w:val="47E02332"/>
    <w:rsid w:val="47F62B74"/>
    <w:rsid w:val="4829354E"/>
    <w:rsid w:val="48770C66"/>
    <w:rsid w:val="48B64640"/>
    <w:rsid w:val="49696DA5"/>
    <w:rsid w:val="497F0684"/>
    <w:rsid w:val="49A50F0B"/>
    <w:rsid w:val="49C65963"/>
    <w:rsid w:val="49FF2520"/>
    <w:rsid w:val="4A747320"/>
    <w:rsid w:val="4B9C166F"/>
    <w:rsid w:val="4C404189"/>
    <w:rsid w:val="4EC87298"/>
    <w:rsid w:val="503F0BFC"/>
    <w:rsid w:val="5336479F"/>
    <w:rsid w:val="539319B7"/>
    <w:rsid w:val="53F03863"/>
    <w:rsid w:val="540612DD"/>
    <w:rsid w:val="54326440"/>
    <w:rsid w:val="54622945"/>
    <w:rsid w:val="55215252"/>
    <w:rsid w:val="55241353"/>
    <w:rsid w:val="56624142"/>
    <w:rsid w:val="56EE3E47"/>
    <w:rsid w:val="570F7BE9"/>
    <w:rsid w:val="577354C1"/>
    <w:rsid w:val="577B448C"/>
    <w:rsid w:val="57EA583A"/>
    <w:rsid w:val="57F152A0"/>
    <w:rsid w:val="58393127"/>
    <w:rsid w:val="58B141C2"/>
    <w:rsid w:val="590429E2"/>
    <w:rsid w:val="59886344"/>
    <w:rsid w:val="59BB0154"/>
    <w:rsid w:val="5AF440A0"/>
    <w:rsid w:val="5B0A331F"/>
    <w:rsid w:val="5B192C82"/>
    <w:rsid w:val="5B277F80"/>
    <w:rsid w:val="5B411CCC"/>
    <w:rsid w:val="5B950730"/>
    <w:rsid w:val="5BF64864"/>
    <w:rsid w:val="5C1263A3"/>
    <w:rsid w:val="5D663B51"/>
    <w:rsid w:val="5E8C14B0"/>
    <w:rsid w:val="5EA01F05"/>
    <w:rsid w:val="5EE144F9"/>
    <w:rsid w:val="607D37A6"/>
    <w:rsid w:val="61045C75"/>
    <w:rsid w:val="619E0691"/>
    <w:rsid w:val="61D27B22"/>
    <w:rsid w:val="62426A55"/>
    <w:rsid w:val="62A2257D"/>
    <w:rsid w:val="62D378CB"/>
    <w:rsid w:val="63202106"/>
    <w:rsid w:val="634520A2"/>
    <w:rsid w:val="63C60FC0"/>
    <w:rsid w:val="63F8378C"/>
    <w:rsid w:val="6410048D"/>
    <w:rsid w:val="64CF6C8F"/>
    <w:rsid w:val="65B732B6"/>
    <w:rsid w:val="668A4F2B"/>
    <w:rsid w:val="66AF48CD"/>
    <w:rsid w:val="67270437"/>
    <w:rsid w:val="674F6FAE"/>
    <w:rsid w:val="68DD5D2B"/>
    <w:rsid w:val="69FC76B5"/>
    <w:rsid w:val="6A5C267E"/>
    <w:rsid w:val="6A7B3442"/>
    <w:rsid w:val="6B570BD3"/>
    <w:rsid w:val="6B7B14D4"/>
    <w:rsid w:val="6B99345E"/>
    <w:rsid w:val="6BCB7FB6"/>
    <w:rsid w:val="6C303DC2"/>
    <w:rsid w:val="6CA97D11"/>
    <w:rsid w:val="6D800432"/>
    <w:rsid w:val="6DB97572"/>
    <w:rsid w:val="6E076DA5"/>
    <w:rsid w:val="6E705326"/>
    <w:rsid w:val="6EBC4974"/>
    <w:rsid w:val="6EC01A4C"/>
    <w:rsid w:val="6ED22F0F"/>
    <w:rsid w:val="6F0D3B6F"/>
    <w:rsid w:val="6F41220A"/>
    <w:rsid w:val="70F133F4"/>
    <w:rsid w:val="71973F9C"/>
    <w:rsid w:val="730E64E0"/>
    <w:rsid w:val="73102258"/>
    <w:rsid w:val="7399049F"/>
    <w:rsid w:val="73BF6C6B"/>
    <w:rsid w:val="73FF709F"/>
    <w:rsid w:val="744A1F6D"/>
    <w:rsid w:val="74916A9D"/>
    <w:rsid w:val="74EC4E86"/>
    <w:rsid w:val="758D6016"/>
    <w:rsid w:val="767D7DFF"/>
    <w:rsid w:val="768770CB"/>
    <w:rsid w:val="7728263E"/>
    <w:rsid w:val="77E67A2B"/>
    <w:rsid w:val="792468C2"/>
    <w:rsid w:val="79607369"/>
    <w:rsid w:val="798C015E"/>
    <w:rsid w:val="7A5614FA"/>
    <w:rsid w:val="7B346CFF"/>
    <w:rsid w:val="7C0A7761"/>
    <w:rsid w:val="7C7D6B26"/>
    <w:rsid w:val="7C9150AE"/>
    <w:rsid w:val="7D8C4ED4"/>
    <w:rsid w:val="7F0F40ED"/>
    <w:rsid w:val="7F2A13E6"/>
    <w:rsid w:val="7F343489"/>
    <w:rsid w:val="7FA355E0"/>
    <w:rsid w:val="D7FE507F"/>
    <w:rsid w:val="DFEF884A"/>
    <w:rsid w:val="E7A513E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 w:hAnsi="仿宋" w:eastAsia="宋体" w:cs="Times New Roman"/>
      <w:sz w:val="28"/>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eastAsia="仿宋" w:cs="仿宋"/>
      <w:sz w:val="31"/>
      <w:szCs w:val="31"/>
      <w:lang w:eastAsia="en-US"/>
    </w:rPr>
  </w:style>
  <w:style w:type="paragraph" w:styleId="3">
    <w:name w:val="Normal Indent"/>
    <w:basedOn w:val="1"/>
    <w:unhideWhenUsed/>
    <w:qFormat/>
    <w:uiPriority w:val="99"/>
    <w:pPr>
      <w:ind w:firstLine="420" w:firstLineChars="200"/>
    </w:pPr>
  </w:style>
  <w:style w:type="paragraph" w:styleId="4">
    <w:name w:val="footer"/>
    <w:basedOn w:val="1"/>
    <w:link w:val="15"/>
    <w:qFormat/>
    <w:uiPriority w:val="0"/>
    <w:pPr>
      <w:tabs>
        <w:tab w:val="center" w:pos="4153"/>
        <w:tab w:val="right" w:pos="8306"/>
      </w:tabs>
      <w:snapToGrid w:val="0"/>
      <w:jc w:val="left"/>
    </w:pPr>
    <w:rPr>
      <w:sz w:val="18"/>
      <w:szCs w:val="18"/>
    </w:rPr>
  </w:style>
  <w:style w:type="paragraph" w:styleId="5">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sz w:val="24"/>
    </w:rPr>
  </w:style>
  <w:style w:type="paragraph" w:customStyle="1" w:styleId="9">
    <w:name w:val="BodyText"/>
    <w:basedOn w:val="1"/>
    <w:next w:val="10"/>
    <w:qFormat/>
    <w:uiPriority w:val="0"/>
    <w:pPr>
      <w:textAlignment w:val="baseline"/>
    </w:pPr>
    <w:rPr>
      <w:rFonts w:ascii="仿宋_GB2312" w:hAnsi="仿宋_GB2312" w:eastAsia="仿宋_GB2312"/>
      <w:sz w:val="32"/>
      <w:szCs w:val="32"/>
      <w:lang w:val="zh-CN" w:bidi="zh-CN"/>
    </w:rPr>
  </w:style>
  <w:style w:type="paragraph" w:customStyle="1" w:styleId="10">
    <w:name w:val="BodyText1I"/>
    <w:basedOn w:val="9"/>
    <w:qFormat/>
    <w:uiPriority w:val="0"/>
    <w:pPr>
      <w:ind w:firstLine="420" w:firstLineChars="100"/>
    </w:pPr>
    <w:rPr>
      <w:rFonts w:cs="宋体"/>
    </w:rPr>
  </w:style>
  <w:style w:type="paragraph" w:customStyle="1" w:styleId="11">
    <w:name w:val="列出段落1"/>
    <w:basedOn w:val="1"/>
    <w:qFormat/>
    <w:uiPriority w:val="34"/>
    <w:pPr>
      <w:ind w:firstLine="420" w:firstLineChars="200"/>
    </w:pPr>
  </w:style>
  <w:style w:type="paragraph" w:styleId="12">
    <w:name w:val="List Paragraph"/>
    <w:basedOn w:val="1"/>
    <w:qFormat/>
    <w:uiPriority w:val="99"/>
    <w:pPr>
      <w:ind w:firstLine="420" w:firstLineChars="200"/>
    </w:pPr>
    <w:rPr>
      <w:rFonts w:ascii="Calibri" w:hAnsi="Calibri"/>
      <w:szCs w:val="22"/>
    </w:rPr>
  </w:style>
  <w:style w:type="paragraph" w:customStyle="1" w:styleId="13">
    <w:name w:val="p0"/>
    <w:basedOn w:val="1"/>
    <w:qFormat/>
    <w:uiPriority w:val="99"/>
    <w:pPr>
      <w:widowControl/>
    </w:pPr>
    <w:rPr>
      <w:rFonts w:ascii="Times New Roman" w:hAnsi="Times New Roman"/>
      <w:szCs w:val="21"/>
    </w:rPr>
  </w:style>
  <w:style w:type="character" w:customStyle="1" w:styleId="14">
    <w:name w:val="页眉 Char"/>
    <w:basedOn w:val="8"/>
    <w:link w:val="5"/>
    <w:qFormat/>
    <w:uiPriority w:val="0"/>
    <w:rPr>
      <w:rFonts w:ascii="仿宋" w:hAnsi="仿宋" w:eastAsia="宋体" w:cs="Times New Roman"/>
      <w:sz w:val="18"/>
      <w:szCs w:val="18"/>
    </w:rPr>
  </w:style>
  <w:style w:type="character" w:customStyle="1" w:styleId="15">
    <w:name w:val="页脚 Char"/>
    <w:basedOn w:val="8"/>
    <w:link w:val="4"/>
    <w:qFormat/>
    <w:uiPriority w:val="0"/>
    <w:rPr>
      <w:rFonts w:ascii="仿宋" w:hAnsi="仿宋"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e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19</Pages>
  <Words>9272</Words>
  <Characters>2213</Characters>
  <Lines>18</Lines>
  <Paragraphs>22</Paragraphs>
  <TotalTime>0</TotalTime>
  <ScaleCrop>false</ScaleCrop>
  <LinksUpToDate>false</LinksUpToDate>
  <CharactersWithSpaces>11463</CharactersWithSpaces>
  <Application>WPS Office_12.8.2.1112_F1E327BC-269C-435d-A152-05C5408002CA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2024-03-19T00:36:00Z</dcterms:created>
  <dc:creator>Administrator</dc:creator>
  <cp:lastModifiedBy>邓凡超</cp:lastModifiedBy>
  <dcterms:modified xsi:type="dcterms:W3CDTF">2025-05-16T11:21:31Z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2052-12.8.2.1112</vt:lpwstr>
  </property>
  <property fmtid="{D5CDD505-2E9C-101B-9397-08002B2CF9AE}" pid="3" name="ICV">
    <vt:lpwstr>12C804FB5DC74582993175EDEB038DA2_13</vt:lpwstr>
  </property>
</Properties>
</file>