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ascii="黑体" w:hAnsi="黑体" w:eastAsia="黑体" w:cs="黑体"/>
          <w:bCs/>
          <w:sz w:val="32"/>
          <w:szCs w:val="32"/>
        </w:rPr>
      </w:pPr>
      <w:r>
        <w:rPr>
          <w:rFonts w:hint="eastAsia" w:ascii="黑体" w:hAnsi="黑体" w:eastAsia="黑体" w:cs="黑体"/>
          <w:bCs/>
          <w:sz w:val="32"/>
          <w:szCs w:val="32"/>
        </w:rPr>
        <w:t>附件3-1</w:t>
      </w:r>
    </w:p>
    <w:p>
      <w:pPr>
        <w:spacing w:line="348" w:lineRule="auto"/>
        <w:jc w:val="center"/>
        <w:rPr>
          <w:rFonts w:eastAsia="方正小标宋简体"/>
          <w:bCs/>
          <w:sz w:val="42"/>
          <w:szCs w:val="42"/>
        </w:rPr>
      </w:pPr>
    </w:p>
    <w:p>
      <w:pPr>
        <w:spacing w:line="800" w:lineRule="exact"/>
        <w:jc w:val="center"/>
        <w:rPr>
          <w:rFonts w:eastAsia="方正小标宋简体"/>
          <w:bCs/>
          <w:sz w:val="46"/>
          <w:szCs w:val="46"/>
        </w:rPr>
      </w:pPr>
      <w:r>
        <w:rPr>
          <w:rFonts w:hint="eastAsia" w:eastAsia="方正小标宋简体"/>
          <w:bCs/>
          <w:sz w:val="46"/>
          <w:szCs w:val="46"/>
        </w:rPr>
        <w:t>君山区20</w:t>
      </w:r>
      <w:r>
        <w:rPr>
          <w:rFonts w:hint="eastAsia" w:eastAsia="方正小标宋简体"/>
          <w:bCs/>
          <w:sz w:val="46"/>
          <w:szCs w:val="46"/>
          <w:lang w:val="en-US" w:eastAsia="zh-CN"/>
        </w:rPr>
        <w:t>22</w:t>
      </w:r>
      <w:r>
        <w:rPr>
          <w:rFonts w:hint="eastAsia" w:eastAsia="方正小标宋简体"/>
          <w:bCs/>
          <w:sz w:val="46"/>
          <w:szCs w:val="46"/>
        </w:rPr>
        <w:t>年度部门（单位）整体支出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301" w:beforeLines="50" w:line="348" w:lineRule="auto"/>
        <w:ind w:firstLine="476" w:firstLineChars="150"/>
        <w:rPr>
          <w:rFonts w:eastAsia="仿宋_GB2312"/>
          <w:sz w:val="32"/>
          <w:szCs w:val="32"/>
          <w:u w:val="single"/>
        </w:rPr>
      </w:pPr>
      <w:r>
        <w:rPr>
          <w:rFonts w:hint="eastAsia" w:eastAsia="仿宋_GB2312"/>
          <w:sz w:val="32"/>
          <w:szCs w:val="32"/>
        </w:rPr>
        <w:t>部门(单位)名称：</w:t>
      </w:r>
      <w:r>
        <w:rPr>
          <w:rFonts w:hint="eastAsia" w:eastAsia="仿宋_GB2312"/>
          <w:sz w:val="32"/>
          <w:szCs w:val="32"/>
          <w:u w:val="single"/>
          <w:lang w:eastAsia="zh-CN"/>
        </w:rPr>
        <w:t>岳阳市君山区文化旅游广电体育局</w:t>
      </w:r>
    </w:p>
    <w:p>
      <w:pPr>
        <w:spacing w:before="156" w:beforeLines="50" w:line="348" w:lineRule="auto"/>
        <w:ind w:firstLine="476" w:firstLineChars="150"/>
        <w:rPr>
          <w:rFonts w:eastAsia="仿宋_GB2312"/>
          <w:spacing w:val="20"/>
          <w:sz w:val="32"/>
          <w:szCs w:val="32"/>
        </w:rPr>
      </w:pPr>
      <w:r>
        <w:rPr>
          <w:rFonts w:hint="eastAsia" w:eastAsia="仿宋_GB2312"/>
          <w:sz w:val="32"/>
          <w:szCs w:val="32"/>
        </w:rPr>
        <w:t>预</w:t>
      </w:r>
      <w:r>
        <w:rPr>
          <w:rFonts w:hint="eastAsia" w:eastAsia="仿宋_GB2312"/>
          <w:spacing w:val="30"/>
          <w:sz w:val="32"/>
          <w:szCs w:val="32"/>
        </w:rPr>
        <w:t xml:space="preserve"> 算 编 码：</w:t>
      </w:r>
      <w:r>
        <w:rPr>
          <w:rFonts w:hint="eastAsia" w:eastAsia="仿宋_GB2312"/>
          <w:spacing w:val="20"/>
          <w:sz w:val="32"/>
          <w:szCs w:val="32"/>
          <w:u w:val="single"/>
          <w:lang w:val="en-US" w:eastAsia="zh-CN"/>
        </w:rPr>
        <w:t>130</w:t>
      </w:r>
    </w:p>
    <w:p>
      <w:pPr>
        <w:spacing w:before="156"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156" w:beforeLines="50" w:line="348" w:lineRule="auto"/>
        <w:ind w:firstLine="476" w:firstLineChars="150"/>
        <w:rPr>
          <w:rFonts w:eastAsia="仿宋_GB2312"/>
          <w:sz w:val="32"/>
          <w:szCs w:val="32"/>
        </w:rPr>
      </w:pPr>
      <w:r>
        <w:rPr>
          <w:rFonts w:hint="eastAsia" w:eastAsia="仿宋_GB2312"/>
          <w:sz w:val="32"/>
          <w:szCs w:val="32"/>
        </w:rPr>
        <w:t xml:space="preserve">评价机构：部门（单位）评价组   </w:t>
      </w:r>
    </w:p>
    <w:p>
      <w:pPr>
        <w:spacing w:line="348" w:lineRule="auto"/>
        <w:ind w:firstLine="2188" w:firstLineChars="690"/>
        <w:rPr>
          <w:rFonts w:eastAsia="仿宋_GB2312"/>
          <w:sz w:val="32"/>
        </w:rPr>
      </w:pPr>
    </w:p>
    <w:p>
      <w:pPr>
        <w:spacing w:line="348" w:lineRule="auto"/>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 xml:space="preserve">报告日期： </w:t>
      </w:r>
      <w:r>
        <w:rPr>
          <w:rFonts w:hint="eastAsia" w:eastAsia="仿宋_GB2312"/>
          <w:sz w:val="32"/>
          <w:lang w:val="en-US" w:eastAsia="zh-CN"/>
        </w:rPr>
        <w:t>2023</w:t>
      </w:r>
      <w:r>
        <w:rPr>
          <w:rFonts w:hint="eastAsia" w:eastAsia="仿宋_GB2312"/>
          <w:sz w:val="32"/>
        </w:rPr>
        <w:t xml:space="preserve">  年 </w:t>
      </w:r>
      <w:r>
        <w:rPr>
          <w:rFonts w:hint="eastAsia" w:eastAsia="仿宋_GB2312"/>
          <w:sz w:val="32"/>
          <w:lang w:val="en-US" w:eastAsia="zh-CN"/>
        </w:rPr>
        <w:t>6</w:t>
      </w:r>
      <w:r>
        <w:rPr>
          <w:rFonts w:hint="eastAsia" w:eastAsia="仿宋_GB2312"/>
          <w:sz w:val="32"/>
        </w:rPr>
        <w:t xml:space="preserve">  月 </w:t>
      </w:r>
      <w:r>
        <w:rPr>
          <w:rFonts w:hint="eastAsia" w:eastAsia="仿宋_GB2312"/>
          <w:sz w:val="32"/>
          <w:lang w:val="en-US" w:eastAsia="zh-CN"/>
        </w:rPr>
        <w:t>28</w:t>
      </w:r>
      <w:r>
        <w:rPr>
          <w:rFonts w:hint="eastAsia" w:eastAsia="仿宋_GB2312"/>
          <w:sz w:val="32"/>
        </w:rPr>
        <w:t xml:space="preserve">  日</w:t>
      </w:r>
    </w:p>
    <w:p>
      <w:pPr>
        <w:autoSpaceDN w:val="0"/>
        <w:jc w:val="center"/>
        <w:textAlignment w:val="center"/>
        <w:rPr>
          <w:rFonts w:eastAsia="仿宋_GB2312"/>
          <w:sz w:val="32"/>
          <w:szCs w:val="32"/>
        </w:rPr>
        <w:sectPr>
          <w:footerReference r:id="rId3" w:type="default"/>
          <w:footerReference r:id="rId4" w:type="even"/>
          <w:pgSz w:w="11906" w:h="16838"/>
          <w:pgMar w:top="1588" w:right="1588" w:bottom="1588" w:left="1588" w:header="851" w:footer="992" w:gutter="0"/>
          <w:pgNumType w:start="1"/>
          <w:cols w:space="720" w:num="1"/>
          <w:docGrid w:type="linesAndChars" w:linePitch="602" w:charSpace="-782"/>
        </w:sectPr>
      </w:pPr>
      <w:r>
        <w:rPr>
          <w:rFonts w:hint="eastAsia" w:eastAsia="仿宋_GB2312"/>
          <w:sz w:val="32"/>
        </w:rPr>
        <w:t>君山区财政</w:t>
      </w:r>
      <w:r>
        <w:rPr>
          <w:rFonts w:hint="eastAsia" w:eastAsia="仿宋_GB2312"/>
          <w:sz w:val="32"/>
          <w:szCs w:val="32"/>
        </w:rPr>
        <w:t>局（制）</w:t>
      </w:r>
    </w:p>
    <w:tbl>
      <w:tblPr>
        <w:tblStyle w:val="5"/>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5" w:type="dxa"/>
          <w:bottom w:w="0" w:type="dxa"/>
          <w:right w:w="15" w:type="dxa"/>
        </w:tblCellMar>
      </w:tblPr>
      <w:tblGrid>
        <w:gridCol w:w="1441"/>
        <w:gridCol w:w="213"/>
        <w:gridCol w:w="46"/>
        <w:gridCol w:w="1012"/>
        <w:gridCol w:w="278"/>
        <w:gridCol w:w="908"/>
        <w:gridCol w:w="509"/>
        <w:gridCol w:w="800"/>
        <w:gridCol w:w="1487"/>
        <w:gridCol w:w="218"/>
        <w:gridCol w:w="8"/>
        <w:gridCol w:w="196"/>
        <w:gridCol w:w="1105"/>
        <w:gridCol w:w="499"/>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53" w:type="dxa"/>
            <w:gridSpan w:val="6"/>
            <w:noWrap w:val="0"/>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lang w:val="en-US" w:eastAsia="zh-CN"/>
              </w:rPr>
              <w:t>何爱华</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联络电话</w:t>
            </w:r>
          </w:p>
        </w:tc>
        <w:tc>
          <w:tcPr>
            <w:tcW w:w="3106" w:type="dxa"/>
            <w:gridSpan w:val="8"/>
            <w:noWrap w:val="0"/>
            <w:vAlign w:val="center"/>
          </w:tcPr>
          <w:p>
            <w:pPr>
              <w:autoSpaceDN w:val="0"/>
              <w:spacing w:line="320" w:lineRule="exact"/>
              <w:jc w:val="center"/>
              <w:textAlignment w:val="center"/>
              <w:rPr>
                <w:rFonts w:hint="default"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lang w:val="en-US" w:eastAsia="zh-CN"/>
              </w:rPr>
              <w:t>13789012572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53" w:type="dxa"/>
            <w:gridSpan w:val="6"/>
            <w:noWrap w:val="0"/>
            <w:vAlign w:val="center"/>
          </w:tcPr>
          <w:p>
            <w:pPr>
              <w:autoSpaceDN w:val="0"/>
              <w:spacing w:line="320" w:lineRule="exact"/>
              <w:jc w:val="center"/>
              <w:textAlignment w:val="center"/>
              <w:rPr>
                <w:rFonts w:hint="default"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lang w:val="en-US" w:eastAsia="zh-CN"/>
              </w:rPr>
              <w:t>38</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实有人数</w:t>
            </w:r>
          </w:p>
        </w:tc>
        <w:tc>
          <w:tcPr>
            <w:tcW w:w="3106" w:type="dxa"/>
            <w:gridSpan w:val="8"/>
            <w:noWrap w:val="0"/>
            <w:vAlign w:val="center"/>
          </w:tcPr>
          <w:p>
            <w:pPr>
              <w:autoSpaceDN w:val="0"/>
              <w:spacing w:line="320" w:lineRule="exact"/>
              <w:jc w:val="center"/>
              <w:textAlignment w:val="center"/>
              <w:rPr>
                <w:rFonts w:hint="default"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lang w:val="en-US" w:eastAsia="zh-CN"/>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500"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46" w:type="dxa"/>
            <w:gridSpan w:val="15"/>
            <w:noWrap w:val="0"/>
            <w:vAlign w:val="center"/>
          </w:tcPr>
          <w:p>
            <w:pPr>
              <w:numPr>
                <w:ilvl w:val="0"/>
                <w:numId w:val="1"/>
              </w:numPr>
              <w:autoSpaceDN w:val="0"/>
              <w:spacing w:line="320" w:lineRule="exact"/>
              <w:jc w:val="left"/>
              <w:textAlignment w:val="center"/>
              <w:rPr>
                <w:rFonts w:hint="eastAsia" w:ascii="仿宋_GB2312" w:eastAsia="仿宋_GB2312" w:cs="Times New Roman"/>
                <w:color w:val="333333"/>
                <w:kern w:val="0"/>
                <w:sz w:val="24"/>
                <w:lang w:eastAsia="zh-CN"/>
              </w:rPr>
            </w:pPr>
            <w:r>
              <w:rPr>
                <w:rFonts w:hint="eastAsia" w:ascii="仿宋_GB2312" w:hAnsi="Times New Roman" w:eastAsia="仿宋_GB2312" w:cs="Times New Roman"/>
                <w:color w:val="333333"/>
                <w:kern w:val="0"/>
                <w:sz w:val="24"/>
              </w:rPr>
              <w:t>贯彻党和国家有关文化艺术、旅游业、广播电影电视路线、方针、政策和法律、法规、规章，把握正确的舆论和制作导向</w:t>
            </w:r>
            <w:r>
              <w:rPr>
                <w:rFonts w:hint="eastAsia" w:ascii="仿宋_GB2312" w:eastAsia="仿宋_GB2312" w:cs="Times New Roman"/>
                <w:color w:val="333333"/>
                <w:kern w:val="0"/>
                <w:sz w:val="24"/>
                <w:lang w:eastAsia="zh-CN"/>
              </w:rPr>
              <w:t>。</w:t>
            </w:r>
          </w:p>
          <w:p>
            <w:pPr>
              <w:numPr>
                <w:ilvl w:val="0"/>
                <w:numId w:val="0"/>
              </w:num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二、指导管理全区文学艺术事业、指导艺术创作与生产。重点扶持具有代表性、示范性、实验性的文化艺术品种，推动各门类艺术的发展；</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三、拟订全区文化体育旅游广电产业发展规划，指导、协调全区文化体育旅游广电产业发展，推进文化体育旅游领域的公共文化服务，规划、引导公共文化产品生产，统筹安排文化、文物事业经费；指导全区重点文化体育设施建设和基层文化体育设施建设。</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四、拟订全区文化市场发展规划，指导全区文化市场综合执法工作，负责对全区文化艺术经营活动进行管理，指导对从事演艺活动的民办机构的监管工作，负责对网吧等上网服务营业场所实行经营许可证管理，负责对网络游戏服务进行监管；</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五、指导、管理全区社会文化事业，拟订社会文化事业发展规划并组织实施，指导、管理全区图书馆、文化馆（站）事业、全民读书活动、农家书屋工程和基层文化建设；拟订全区非物质文化遗产保护规则、组织实施全区非物质文化遗产保护和优秀民族文化的传承普及工作。</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六、组织推进全区广播电影电视公共服务，组织实施全区广播电视村村通工作；指导协调全区广播电影电视事业、产业发展。</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七、负责对全区广播电影电视、信息网络视听节目服务机构和业务的监管，并实施准入和退出管理；监管全区广播电影电视节目、信息网络视听节目和公共视听载体播放的视听节目，审查其内容和质量。</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八、推动全区群众体育和竟技体育产业的发展，拟订全区全民健身计划。发展体育产业，拓展体育市场，依法审查全区体育经营活动的从业资格。</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九、对全区广播电视台的宣传、发展、传输和覆盖等重大事项进行指导和协调。</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十、负责全区旅游安全的综合协调和监督管理，指导应急救援工作；组织全区旅游资源的普查、规划、开发和相关保护工作；引导旅游产业的社会投资和利用外资工作；指导全区旅游基础设施建设工作；负责全区旅游统计及行业信息发布。</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十一、负责全区旅行社的监督管理工作；负责对星级宾馆（饭店）、景区（点）等旅游企业进行相关等级评定的申报工作。</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十二、承担规范旅游市场秩序、监督管理服务质量、维护旅游浪费者和经营者合法权益的责任，规范旅游企业和从业人员的经营和服务行为。</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十三、制定并组织实施旅游人才规划，指导旅游教育、培训工作。负责旅游从业人员的职业资格制度和等级制度的组织实施工作。</w:t>
            </w:r>
          </w:p>
          <w:p>
            <w:pPr>
              <w:autoSpaceDN w:val="0"/>
              <w:spacing w:line="320" w:lineRule="exact"/>
              <w:jc w:val="left"/>
              <w:textAlignment w:val="center"/>
              <w:rPr>
                <w:rFonts w:hint="eastAsia" w:ascii="仿宋_GB2312" w:hAnsi="Times New Roman" w:eastAsia="仿宋_GB2312" w:cs="Times New Roman"/>
                <w:color w:val="333333"/>
                <w:kern w:val="0"/>
                <w:sz w:val="24"/>
              </w:rPr>
            </w:pPr>
            <w:r>
              <w:rPr>
                <w:rFonts w:hint="eastAsia" w:ascii="仿宋_GB2312" w:hAnsi="Times New Roman" w:eastAsia="仿宋_GB2312" w:cs="Times New Roman"/>
                <w:color w:val="333333"/>
                <w:kern w:val="0"/>
                <w:sz w:val="24"/>
              </w:rPr>
              <w:t>十四、指导旅游对外交流与合作，指导旅游行业精神文明建设及评先创优工作；推进旅游信息化建设工作</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Times New Roman" w:eastAsia="仿宋_GB2312" w:cs="Times New Roman"/>
                <w:color w:val="333333"/>
                <w:kern w:val="0"/>
                <w:sz w:val="24"/>
              </w:rPr>
              <w:t>十五、承办区委、区政府交办的其他事项。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464"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46" w:type="dxa"/>
            <w:gridSpan w:val="15"/>
            <w:noWrap w:val="0"/>
            <w:vAlign w:val="center"/>
          </w:tcPr>
          <w:p>
            <w:pPr>
              <w:autoSpaceDN w:val="0"/>
              <w:spacing w:line="320" w:lineRule="exact"/>
              <w:jc w:val="left"/>
              <w:textAlignment w:val="center"/>
              <w:rPr>
                <w:rFonts w:hint="default" w:ascii="仿宋_GB2312" w:hAnsi="Times New Roman" w:eastAsia="仿宋_GB2312" w:cs="Times New Roman"/>
                <w:color w:val="333333"/>
                <w:kern w:val="0"/>
                <w:sz w:val="24"/>
                <w:lang w:val="en-US" w:eastAsia="zh-CN"/>
              </w:rPr>
            </w:pPr>
            <w:r>
              <w:rPr>
                <w:rFonts w:hint="eastAsia" w:ascii="仿宋_GB2312" w:hAnsi="Times New Roman" w:eastAsia="仿宋_GB2312" w:cs="Times New Roman"/>
                <w:color w:val="333333"/>
                <w:kern w:val="0"/>
                <w:sz w:val="24"/>
              </w:rPr>
              <w:t>任</w:t>
            </w:r>
            <w:r>
              <w:rPr>
                <w:rFonts w:hint="eastAsia" w:ascii="仿宋_GB2312" w:hAnsi="Times New Roman" w:eastAsia="仿宋_GB2312" w:cs="Times New Roman"/>
                <w:color w:val="333333"/>
                <w:kern w:val="0"/>
                <w:sz w:val="24"/>
                <w:lang w:eastAsia="zh-CN"/>
              </w:rPr>
              <w:t>务1</w:t>
            </w:r>
            <w:r>
              <w:rPr>
                <w:rFonts w:hint="eastAsia" w:ascii="仿宋_GB2312" w:hAnsi="Times New Roman" w:eastAsia="仿宋_GB2312" w:cs="Times New Roman"/>
                <w:color w:val="333333"/>
                <w:kern w:val="0"/>
                <w:sz w:val="24"/>
                <w:lang w:val="en-US" w:eastAsia="zh-CN"/>
              </w:rPr>
              <w:t xml:space="preserve">：积极开展各类文化活动; </w:t>
            </w:r>
          </w:p>
          <w:p>
            <w:pPr>
              <w:autoSpaceDN w:val="0"/>
              <w:spacing w:line="320" w:lineRule="exact"/>
              <w:jc w:val="left"/>
              <w:textAlignment w:val="center"/>
              <w:rPr>
                <w:rFonts w:hint="eastAsia" w:ascii="仿宋_GB2312" w:hAnsi="Times New Roman" w:eastAsia="仿宋_GB2312" w:cs="Times New Roman"/>
                <w:color w:val="333333"/>
                <w:kern w:val="0"/>
                <w:sz w:val="24"/>
                <w:lang w:val="en-US" w:eastAsia="zh-CN"/>
              </w:rPr>
            </w:pPr>
            <w:r>
              <w:rPr>
                <w:rFonts w:hint="eastAsia" w:ascii="仿宋_GB2312" w:hAnsi="Times New Roman" w:eastAsia="仿宋_GB2312" w:cs="Times New Roman"/>
                <w:color w:val="333333"/>
                <w:kern w:val="0"/>
                <w:sz w:val="24"/>
                <w:lang w:val="en-US" w:eastAsia="zh-CN"/>
              </w:rPr>
              <w:t xml:space="preserve">任务2：做好文化保护工作; </w:t>
            </w:r>
          </w:p>
          <w:p>
            <w:pPr>
              <w:autoSpaceDN w:val="0"/>
              <w:spacing w:line="320" w:lineRule="exact"/>
              <w:jc w:val="left"/>
              <w:textAlignment w:val="center"/>
              <w:rPr>
                <w:rFonts w:hint="eastAsia" w:ascii="仿宋_GB2312" w:hAnsi="Times New Roman" w:eastAsia="仿宋_GB2312" w:cs="Times New Roman"/>
                <w:color w:val="333333"/>
                <w:kern w:val="0"/>
                <w:sz w:val="24"/>
                <w:lang w:val="en-US" w:eastAsia="zh-CN"/>
              </w:rPr>
            </w:pPr>
            <w:r>
              <w:rPr>
                <w:rFonts w:hint="eastAsia" w:ascii="仿宋_GB2312" w:hAnsi="Times New Roman" w:eastAsia="仿宋_GB2312" w:cs="Times New Roman"/>
                <w:color w:val="333333"/>
                <w:kern w:val="0"/>
                <w:sz w:val="24"/>
                <w:lang w:val="en-US" w:eastAsia="zh-CN"/>
              </w:rPr>
              <w:t>任务3：提升公共文化服务水平；</w:t>
            </w:r>
          </w:p>
          <w:p>
            <w:pPr>
              <w:autoSpaceDN w:val="0"/>
              <w:spacing w:line="320" w:lineRule="exact"/>
              <w:jc w:val="left"/>
              <w:textAlignment w:val="center"/>
              <w:rPr>
                <w:rFonts w:hint="eastAsia" w:ascii="仿宋_GB2312" w:hAnsi="Times New Roman" w:eastAsia="仿宋_GB2312" w:cs="Times New Roman"/>
                <w:color w:val="333333"/>
                <w:kern w:val="0"/>
                <w:sz w:val="24"/>
                <w:lang w:val="en-US" w:eastAsia="zh-CN"/>
              </w:rPr>
            </w:pPr>
            <w:r>
              <w:rPr>
                <w:rFonts w:hint="eastAsia" w:ascii="仿宋_GB2312" w:hAnsi="Times New Roman" w:eastAsia="仿宋_GB2312" w:cs="Times New Roman"/>
                <w:color w:val="333333"/>
                <w:kern w:val="0"/>
                <w:sz w:val="24"/>
                <w:lang w:val="en-US" w:eastAsia="zh-CN"/>
              </w:rPr>
              <w:t>任务4：举办节会提升经济；</w:t>
            </w:r>
          </w:p>
          <w:p>
            <w:pPr>
              <w:autoSpaceDN w:val="0"/>
              <w:spacing w:line="320" w:lineRule="exact"/>
              <w:jc w:val="left"/>
              <w:textAlignment w:val="center"/>
              <w:rPr>
                <w:rFonts w:hint="eastAsia" w:ascii="仿宋_GB2312" w:hAnsi="Times New Roman" w:eastAsia="仿宋_GB2312" w:cs="Times New Roman"/>
                <w:color w:val="333333"/>
                <w:kern w:val="0"/>
                <w:sz w:val="24"/>
                <w:lang w:val="en-US" w:eastAsia="zh-CN"/>
              </w:rPr>
            </w:pPr>
            <w:r>
              <w:rPr>
                <w:rFonts w:hint="eastAsia" w:ascii="仿宋_GB2312" w:hAnsi="Times New Roman" w:eastAsia="仿宋_GB2312" w:cs="Times New Roman"/>
                <w:color w:val="333333"/>
                <w:kern w:val="0"/>
                <w:sz w:val="24"/>
                <w:lang w:val="en-US" w:eastAsia="zh-CN"/>
              </w:rPr>
              <w:t>任务5：推进景区创建工作；</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Times New Roman" w:eastAsia="仿宋_GB2312" w:cs="Times New Roman"/>
                <w:color w:val="333333"/>
                <w:kern w:val="0"/>
                <w:sz w:val="24"/>
                <w:lang w:val="en-US" w:eastAsia="zh-CN"/>
              </w:rPr>
              <w:t>任务6：积极筹备开展赛事活动；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400"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46" w:type="dxa"/>
            <w:gridSpan w:val="15"/>
            <w:noWrap w:val="0"/>
            <w:vAlign w:val="center"/>
          </w:tcPr>
          <w:p>
            <w:pPr>
              <w:autoSpaceDN w:val="0"/>
              <w:spacing w:line="320" w:lineRule="exact"/>
              <w:jc w:val="left"/>
              <w:textAlignment w:val="center"/>
              <w:rPr>
                <w:rFonts w:hint="default" w:ascii="仿宋_GB2312" w:hAnsi="仿宋_GB2312" w:eastAsia="仿宋_GB2312" w:cs="仿宋_GB2312"/>
                <w:color w:val="000000"/>
                <w:sz w:val="24"/>
                <w:lang w:val="en-US"/>
              </w:rPr>
            </w:pPr>
            <w:r>
              <w:rPr>
                <w:rFonts w:hint="eastAsia" w:ascii="楷体_GB2312" w:hAnsi="楷体_GB2312" w:eastAsia="楷体_GB2312" w:cs="楷体_GB2312"/>
                <w:b/>
                <w:bCs/>
                <w:sz w:val="28"/>
                <w:szCs w:val="28"/>
                <w:lang w:val="en-US" w:eastAsia="zh-CN"/>
              </w:rPr>
              <w:t xml:space="preserve"> </w:t>
            </w:r>
            <w:r>
              <w:rPr>
                <w:rFonts w:hint="eastAsia" w:ascii="仿宋_GB2312" w:hAnsi="Times New Roman" w:eastAsia="仿宋_GB2312" w:cs="Times New Roman"/>
                <w:color w:val="333333"/>
                <w:kern w:val="0"/>
                <w:sz w:val="24"/>
                <w:lang w:val="en-US" w:eastAsia="zh-CN"/>
              </w:rPr>
              <w:t>2022</w:t>
            </w:r>
            <w:r>
              <w:rPr>
                <w:rFonts w:hint="eastAsia" w:ascii="仿宋_GB2312" w:eastAsia="仿宋_GB2312" w:cs="Times New Roman"/>
                <w:color w:val="333333"/>
                <w:kern w:val="0"/>
                <w:sz w:val="24"/>
                <w:lang w:val="en-US" w:eastAsia="zh-CN"/>
              </w:rPr>
              <w:t>年</w:t>
            </w:r>
            <w:r>
              <w:rPr>
                <w:rFonts w:hint="eastAsia" w:ascii="仿宋_GB2312" w:hAnsi="Times New Roman" w:eastAsia="仿宋_GB2312" w:cs="Times New Roman"/>
                <w:color w:val="333333"/>
                <w:kern w:val="0"/>
                <w:sz w:val="24"/>
                <w:lang w:val="en-US" w:eastAsia="zh-CN"/>
              </w:rPr>
              <w:t>是充满机遇同时极具挑战的一年，我局在市文旅广电局的坚强领导下，大力发展文化旅游体育事业，深入挖掘历史文化遗产，优化全区文化市场环境，扎实推进“农文旅体”融合发展战略，各方面工作取得显著成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12" w:type="dxa"/>
            <w:vMerge w:val="restart"/>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88" w:type="dxa"/>
            <w:gridSpan w:val="13"/>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014" w:hRule="atLeast"/>
          <w:jc w:val="center"/>
        </w:trPr>
        <w:tc>
          <w:tcPr>
            <w:tcW w:w="1700" w:type="dxa"/>
            <w:gridSpan w:val="3"/>
            <w:vMerge w:val="continue"/>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12" w:type="dxa"/>
            <w:vMerge w:val="continue"/>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186" w:type="dxa"/>
            <w:gridSpan w:val="2"/>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13" w:type="dxa"/>
            <w:gridSpan w:val="3"/>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3"/>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72" w:hRule="atLeast"/>
          <w:jc w:val="center"/>
        </w:trPr>
        <w:tc>
          <w:tcPr>
            <w:tcW w:w="1700" w:type="dxa"/>
            <w:gridSpan w:val="3"/>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12" w:type="dxa"/>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1961.56</w:t>
            </w:r>
          </w:p>
        </w:tc>
        <w:tc>
          <w:tcPr>
            <w:tcW w:w="1186" w:type="dxa"/>
            <w:gridSpan w:val="2"/>
            <w:tcBorders>
              <w:left w:val="single" w:color="auto" w:sz="4" w:space="0"/>
            </w:tcBorders>
            <w:noWrap w:val="0"/>
            <w:vAlign w:val="center"/>
          </w:tcPr>
          <w:p>
            <w:pPr>
              <w:jc w:val="center"/>
              <w:rPr>
                <w:rFonts w:ascii="仿宋_GB2312" w:hAnsi="仿宋_GB2312" w:eastAsia="仿宋_GB2312" w:cs="仿宋_GB2312"/>
                <w:color w:val="000000"/>
                <w:sz w:val="24"/>
              </w:rPr>
            </w:pPr>
          </w:p>
        </w:tc>
        <w:tc>
          <w:tcPr>
            <w:tcW w:w="1309"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1123.85</w:t>
            </w:r>
          </w:p>
        </w:tc>
        <w:tc>
          <w:tcPr>
            <w:tcW w:w="1713"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625.4</w:t>
            </w:r>
          </w:p>
        </w:tc>
        <w:tc>
          <w:tcPr>
            <w:tcW w:w="1800" w:type="dxa"/>
            <w:gridSpan w:val="3"/>
            <w:noWrap w:val="0"/>
            <w:vAlign w:val="center"/>
          </w:tcPr>
          <w:p>
            <w:pPr>
              <w:jc w:val="center"/>
              <w:rPr>
                <w:rFonts w:ascii="仿宋_GB2312" w:hAnsi="仿宋_GB2312" w:eastAsia="仿宋_GB2312" w:cs="仿宋_GB2312"/>
                <w:color w:val="000000"/>
                <w:sz w:val="24"/>
              </w:rPr>
            </w:pPr>
          </w:p>
        </w:tc>
        <w:tc>
          <w:tcPr>
            <w:tcW w:w="1080"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212.31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noWrap w:val="0"/>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12" w:type="dxa"/>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1896.46</w:t>
            </w:r>
          </w:p>
        </w:tc>
        <w:tc>
          <w:tcPr>
            <w:tcW w:w="1186" w:type="dxa"/>
            <w:gridSpan w:val="2"/>
            <w:tcBorders>
              <w:left w:val="single" w:color="auto" w:sz="4" w:space="0"/>
            </w:tcBorders>
            <w:noWrap w:val="0"/>
            <w:vAlign w:val="center"/>
          </w:tcPr>
          <w:p>
            <w:pPr>
              <w:jc w:val="center"/>
              <w:rPr>
                <w:rFonts w:ascii="仿宋_GB2312" w:hAnsi="仿宋_GB2312" w:eastAsia="仿宋_GB2312" w:cs="仿宋_GB2312"/>
                <w:color w:val="000000"/>
                <w:sz w:val="24"/>
              </w:rPr>
            </w:pPr>
          </w:p>
        </w:tc>
        <w:tc>
          <w:tcPr>
            <w:tcW w:w="1309"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1060.56</w:t>
            </w:r>
          </w:p>
        </w:tc>
        <w:tc>
          <w:tcPr>
            <w:tcW w:w="1713"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625.4</w:t>
            </w:r>
          </w:p>
        </w:tc>
        <w:tc>
          <w:tcPr>
            <w:tcW w:w="1800" w:type="dxa"/>
            <w:gridSpan w:val="3"/>
            <w:noWrap w:val="0"/>
            <w:vAlign w:val="center"/>
          </w:tcPr>
          <w:p>
            <w:pPr>
              <w:jc w:val="center"/>
              <w:rPr>
                <w:rFonts w:ascii="仿宋_GB2312" w:hAnsi="仿宋_GB2312" w:eastAsia="仿宋_GB2312" w:cs="仿宋_GB2312"/>
                <w:color w:val="000000"/>
                <w:sz w:val="24"/>
              </w:rPr>
            </w:pPr>
          </w:p>
        </w:tc>
        <w:tc>
          <w:tcPr>
            <w:tcW w:w="1080"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210.5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noWrap w:val="0"/>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sz w:val="24"/>
                <w:lang w:eastAsia="zh-CN"/>
              </w:rPr>
              <w:t>岳阳市君山区文化市场综合执法大队</w:t>
            </w:r>
          </w:p>
        </w:tc>
        <w:tc>
          <w:tcPr>
            <w:tcW w:w="1012" w:type="dxa"/>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65.1</w:t>
            </w:r>
          </w:p>
        </w:tc>
        <w:tc>
          <w:tcPr>
            <w:tcW w:w="1186" w:type="dxa"/>
            <w:gridSpan w:val="2"/>
            <w:tcBorders>
              <w:left w:val="single" w:color="auto" w:sz="4" w:space="0"/>
            </w:tcBorders>
            <w:noWrap w:val="0"/>
            <w:vAlign w:val="center"/>
          </w:tcPr>
          <w:p>
            <w:pPr>
              <w:jc w:val="center"/>
              <w:rPr>
                <w:rFonts w:ascii="仿宋_GB2312" w:hAnsi="仿宋_GB2312" w:eastAsia="仿宋_GB2312" w:cs="仿宋_GB2312"/>
                <w:color w:val="000000"/>
                <w:sz w:val="24"/>
              </w:rPr>
            </w:pPr>
          </w:p>
        </w:tc>
        <w:tc>
          <w:tcPr>
            <w:tcW w:w="1309"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63.29</w:t>
            </w:r>
          </w:p>
        </w:tc>
        <w:tc>
          <w:tcPr>
            <w:tcW w:w="1713" w:type="dxa"/>
            <w:gridSpan w:val="3"/>
            <w:noWrap w:val="0"/>
            <w:vAlign w:val="center"/>
          </w:tcPr>
          <w:p>
            <w:pPr>
              <w:jc w:val="center"/>
              <w:rPr>
                <w:rFonts w:hint="default" w:ascii="仿宋_GB2312" w:hAnsi="仿宋_GB2312" w:eastAsia="仿宋_GB2312" w:cs="仿宋_GB2312"/>
                <w:color w:val="000000"/>
                <w:sz w:val="24"/>
                <w:lang w:val="en-US" w:eastAsia="zh-CN"/>
              </w:rPr>
            </w:pPr>
          </w:p>
        </w:tc>
        <w:tc>
          <w:tcPr>
            <w:tcW w:w="1800" w:type="dxa"/>
            <w:gridSpan w:val="3"/>
            <w:noWrap w:val="0"/>
            <w:vAlign w:val="center"/>
          </w:tcPr>
          <w:p>
            <w:pPr>
              <w:jc w:val="center"/>
              <w:rPr>
                <w:rFonts w:ascii="仿宋_GB2312" w:hAnsi="仿宋_GB2312" w:eastAsia="仿宋_GB2312" w:cs="仿宋_GB2312"/>
                <w:color w:val="000000"/>
                <w:sz w:val="24"/>
              </w:rPr>
            </w:pPr>
          </w:p>
        </w:tc>
        <w:tc>
          <w:tcPr>
            <w:tcW w:w="1080" w:type="dxa"/>
            <w:gridSpan w:val="3"/>
            <w:noWrap w:val="0"/>
            <w:vAlign w:val="center"/>
          </w:tcPr>
          <w:p>
            <w:pPr>
              <w:keepNext w:val="0"/>
              <w:keepLines w:val="0"/>
              <w:widowControl/>
              <w:suppressLineNumbers w:val="0"/>
              <w:jc w:val="center"/>
              <w:textAlignment w:val="center"/>
              <w:rPr>
                <w:rFonts w:ascii="仿宋_GB2312" w:hAnsi="仿宋_GB2312" w:eastAsia="仿宋_GB2312" w:cs="仿宋_GB2312"/>
                <w:color w:val="000000"/>
                <w:sz w:val="24"/>
              </w:rPr>
            </w:pPr>
            <w:r>
              <w:rPr>
                <w:rFonts w:hint="default" w:ascii="仿宋_GB2312" w:hAnsi="宋体" w:eastAsia="仿宋_GB2312" w:cs="仿宋_GB2312"/>
                <w:i w:val="0"/>
                <w:iCs w:val="0"/>
                <w:color w:val="000000"/>
                <w:kern w:val="0"/>
                <w:sz w:val="24"/>
                <w:szCs w:val="24"/>
                <w:u w:val="none"/>
                <w:lang w:val="en-US" w:eastAsia="zh-CN" w:bidi="ar"/>
              </w:rPr>
              <w:t>1.81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noWrap w:val="0"/>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12" w:type="dxa"/>
            <w:tcBorders>
              <w:right w:val="single" w:color="auto" w:sz="4" w:space="0"/>
            </w:tcBorders>
            <w:noWrap w:val="0"/>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186" w:type="dxa"/>
            <w:gridSpan w:val="2"/>
            <w:tcBorders>
              <w:left w:val="single" w:color="auto" w:sz="4" w:space="0"/>
            </w:tcBorders>
            <w:noWrap w:val="0"/>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09" w:type="dxa"/>
            <w:gridSpan w:val="2"/>
            <w:noWrap w:val="0"/>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13" w:type="dxa"/>
            <w:gridSpan w:val="3"/>
            <w:noWrap w:val="0"/>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3"/>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noWrap w:val="0"/>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9800" w:type="dxa"/>
            <w:gridSpan w:val="1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noWrap w:val="0"/>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12" w:type="dxa"/>
            <w:vMerge w:val="restart"/>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509" w:type="dxa"/>
            <w:gridSpan w:val="9"/>
            <w:tcBorders>
              <w:left w:val="single" w:color="auto" w:sz="4" w:space="0"/>
              <w:bottom w:val="single" w:color="auto" w:sz="4" w:space="0"/>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579" w:type="dxa"/>
            <w:gridSpan w:val="4"/>
            <w:tcBorders>
              <w:left w:val="single" w:color="auto" w:sz="4" w:space="0"/>
              <w:bottom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noWrap w:val="0"/>
            <w:vAlign w:val="center"/>
          </w:tcPr>
          <w:p>
            <w:pPr>
              <w:spacing w:line="320" w:lineRule="exact"/>
              <w:jc w:val="center"/>
              <w:rPr>
                <w:rFonts w:ascii="仿宋_GB2312" w:hAnsi="仿宋_GB2312" w:eastAsia="仿宋_GB2312" w:cs="仿宋_GB2312"/>
                <w:sz w:val="24"/>
              </w:rPr>
            </w:pPr>
          </w:p>
        </w:tc>
        <w:tc>
          <w:tcPr>
            <w:tcW w:w="1012" w:type="dxa"/>
            <w:vMerge w:val="continue"/>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186" w:type="dxa"/>
            <w:gridSpan w:val="2"/>
            <w:vMerge w:val="restart"/>
            <w:tcBorders>
              <w:top w:val="single" w:color="auto" w:sz="4" w:space="0"/>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014" w:type="dxa"/>
            <w:gridSpan w:val="4"/>
            <w:tcBorders>
              <w:top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09" w:type="dxa"/>
            <w:gridSpan w:val="3"/>
            <w:vMerge w:val="restart"/>
            <w:tcBorders>
              <w:top w:val="single" w:color="auto" w:sz="4" w:space="0"/>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954" w:type="dxa"/>
            <w:gridSpan w:val="3"/>
            <w:vMerge w:val="restart"/>
            <w:tcBorders>
              <w:top w:val="single" w:color="auto" w:sz="4" w:space="0"/>
              <w:left w:val="single" w:color="auto" w:sz="4" w:space="0"/>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noWrap w:val="0"/>
            <w:vAlign w:val="center"/>
          </w:tcPr>
          <w:p>
            <w:pPr>
              <w:spacing w:line="320" w:lineRule="exact"/>
              <w:jc w:val="center"/>
              <w:rPr>
                <w:rFonts w:ascii="仿宋_GB2312" w:hAnsi="仿宋_GB2312" w:eastAsia="仿宋_GB2312" w:cs="仿宋_GB2312"/>
                <w:sz w:val="24"/>
              </w:rPr>
            </w:pPr>
          </w:p>
        </w:tc>
        <w:tc>
          <w:tcPr>
            <w:tcW w:w="1012" w:type="dxa"/>
            <w:vMerge w:val="continue"/>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186" w:type="dxa"/>
            <w:gridSpan w:val="2"/>
            <w:vMerge w:val="continue"/>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1705"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309" w:type="dxa"/>
            <w:gridSpan w:val="3"/>
            <w:vMerge w:val="continue"/>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54" w:type="dxa"/>
            <w:gridSpan w:val="3"/>
            <w:vMerge w:val="continue"/>
            <w:tcBorders>
              <w:left w:val="single" w:color="auto" w:sz="4" w:space="0"/>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vMerge w:val="continue"/>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77"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12" w:type="dxa"/>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1837.07</w:t>
            </w:r>
          </w:p>
        </w:tc>
        <w:tc>
          <w:tcPr>
            <w:tcW w:w="1186" w:type="dxa"/>
            <w:gridSpan w:val="2"/>
            <w:tcBorders>
              <w:lef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487.5</w:t>
            </w:r>
          </w:p>
        </w:tc>
        <w:tc>
          <w:tcPr>
            <w:tcW w:w="1309"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381.93</w:t>
            </w:r>
          </w:p>
        </w:tc>
        <w:tc>
          <w:tcPr>
            <w:tcW w:w="1705"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105.57</w:t>
            </w:r>
          </w:p>
        </w:tc>
        <w:tc>
          <w:tcPr>
            <w:tcW w:w="1309"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1349.57</w:t>
            </w:r>
          </w:p>
        </w:tc>
        <w:tc>
          <w:tcPr>
            <w:tcW w:w="954" w:type="dxa"/>
            <w:gridSpan w:val="3"/>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124.49</w:t>
            </w:r>
          </w:p>
        </w:tc>
        <w:tc>
          <w:tcPr>
            <w:tcW w:w="625" w:type="dxa"/>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noWrap w:val="0"/>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12" w:type="dxa"/>
            <w:tcBorders>
              <w:right w:val="single" w:color="auto" w:sz="4" w:space="0"/>
            </w:tcBorders>
            <w:noWrap w:val="0"/>
            <w:vAlign w:val="center"/>
          </w:tcPr>
          <w:p>
            <w:pPr>
              <w:keepNext w:val="0"/>
              <w:keepLines w:val="0"/>
              <w:widowControl/>
              <w:suppressLineNumbers w:val="0"/>
              <w:jc w:val="center"/>
              <w:textAlignment w:val="center"/>
              <w:rPr>
                <w:rFonts w:ascii="仿宋_GB2312" w:hAnsi="仿宋_GB2312" w:eastAsia="仿宋_GB2312" w:cs="仿宋_GB2312"/>
                <w:color w:val="000000"/>
                <w:sz w:val="24"/>
              </w:rPr>
            </w:pPr>
            <w:r>
              <w:rPr>
                <w:rFonts w:hint="default" w:ascii="仿宋_GB2312" w:hAnsi="宋体" w:eastAsia="仿宋_GB2312" w:cs="仿宋_GB2312"/>
                <w:i w:val="0"/>
                <w:iCs w:val="0"/>
                <w:color w:val="000000"/>
                <w:kern w:val="0"/>
                <w:sz w:val="24"/>
                <w:szCs w:val="24"/>
                <w:u w:val="none"/>
                <w:lang w:val="en-US" w:eastAsia="zh-CN" w:bidi="ar"/>
              </w:rPr>
              <w:t>1771.97</w:t>
            </w:r>
          </w:p>
        </w:tc>
        <w:tc>
          <w:tcPr>
            <w:tcW w:w="1186" w:type="dxa"/>
            <w:gridSpan w:val="2"/>
            <w:tcBorders>
              <w:lef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447.08</w:t>
            </w:r>
          </w:p>
        </w:tc>
        <w:tc>
          <w:tcPr>
            <w:tcW w:w="1309"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344.48</w:t>
            </w:r>
          </w:p>
        </w:tc>
        <w:tc>
          <w:tcPr>
            <w:tcW w:w="1705"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102.6</w:t>
            </w:r>
          </w:p>
        </w:tc>
        <w:tc>
          <w:tcPr>
            <w:tcW w:w="1309"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1324.89</w:t>
            </w:r>
          </w:p>
        </w:tc>
        <w:tc>
          <w:tcPr>
            <w:tcW w:w="954" w:type="dxa"/>
            <w:gridSpan w:val="3"/>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124.49</w:t>
            </w:r>
          </w:p>
        </w:tc>
        <w:tc>
          <w:tcPr>
            <w:tcW w:w="625" w:type="dxa"/>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noWrap w:val="0"/>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2、</w:t>
            </w:r>
            <w:r>
              <w:rPr>
                <w:rFonts w:hint="eastAsia" w:ascii="仿宋_GB2312" w:hAnsi="仿宋_GB2312" w:eastAsia="仿宋_GB2312" w:cs="仿宋_GB2312"/>
                <w:sz w:val="24"/>
                <w:lang w:eastAsia="zh-CN"/>
              </w:rPr>
              <w:t>岳阳市君山区文化市场综合执法大队</w:t>
            </w:r>
          </w:p>
        </w:tc>
        <w:tc>
          <w:tcPr>
            <w:tcW w:w="1012" w:type="dxa"/>
            <w:tcBorders>
              <w:righ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65.1</w:t>
            </w:r>
          </w:p>
        </w:tc>
        <w:tc>
          <w:tcPr>
            <w:tcW w:w="1186" w:type="dxa"/>
            <w:gridSpan w:val="2"/>
            <w:tcBorders>
              <w:left w:val="single" w:color="auto"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40.42</w:t>
            </w:r>
          </w:p>
        </w:tc>
        <w:tc>
          <w:tcPr>
            <w:tcW w:w="1309"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37.45</w:t>
            </w:r>
          </w:p>
        </w:tc>
        <w:tc>
          <w:tcPr>
            <w:tcW w:w="1705" w:type="dxa"/>
            <w:gridSpan w:val="2"/>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2.97</w:t>
            </w:r>
          </w:p>
        </w:tc>
        <w:tc>
          <w:tcPr>
            <w:tcW w:w="1309" w:type="dxa"/>
            <w:gridSpan w:val="3"/>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24.68</w:t>
            </w:r>
          </w:p>
        </w:tc>
        <w:tc>
          <w:tcPr>
            <w:tcW w:w="954" w:type="dxa"/>
            <w:gridSpan w:val="3"/>
            <w:tcBorders>
              <w:right w:val="single" w:color="auto" w:sz="4" w:space="0"/>
            </w:tcBorders>
            <w:noWrap w:val="0"/>
            <w:vAlign w:val="center"/>
          </w:tcPr>
          <w:p>
            <w:pPr>
              <w:jc w:val="center"/>
              <w:rPr>
                <w:rFonts w:ascii="仿宋_GB2312" w:hAnsi="仿宋_GB2312" w:eastAsia="仿宋_GB2312" w:cs="仿宋_GB2312"/>
                <w:color w:val="000000"/>
                <w:sz w:val="24"/>
              </w:rPr>
            </w:pPr>
          </w:p>
        </w:tc>
        <w:tc>
          <w:tcPr>
            <w:tcW w:w="625" w:type="dxa"/>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12" w:type="dxa"/>
            <w:vMerge w:val="restart"/>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88" w:type="dxa"/>
            <w:gridSpan w:val="13"/>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noWrap w:val="0"/>
            <w:vAlign w:val="center"/>
          </w:tcPr>
          <w:p>
            <w:pPr>
              <w:spacing w:line="320" w:lineRule="exact"/>
              <w:jc w:val="center"/>
              <w:rPr>
                <w:rFonts w:ascii="仿宋_GB2312" w:hAnsi="仿宋_GB2312" w:eastAsia="仿宋_GB2312" w:cs="仿宋_GB2312"/>
                <w:sz w:val="24"/>
              </w:rPr>
            </w:pPr>
          </w:p>
        </w:tc>
        <w:tc>
          <w:tcPr>
            <w:tcW w:w="1012" w:type="dxa"/>
            <w:vMerge w:val="continue"/>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186" w:type="dxa"/>
            <w:gridSpan w:val="2"/>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1705"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888"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58"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12" w:type="dxa"/>
            <w:tcBorders>
              <w:right w:val="single" w:color="auto" w:sz="4" w:space="0"/>
            </w:tcBorders>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6.13</w:t>
            </w:r>
          </w:p>
        </w:tc>
        <w:tc>
          <w:tcPr>
            <w:tcW w:w="1186" w:type="dxa"/>
            <w:gridSpan w:val="2"/>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6.13</w:t>
            </w: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705"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888"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12" w:type="dxa"/>
            <w:tcBorders>
              <w:right w:val="single" w:color="auto" w:sz="4" w:space="0"/>
            </w:tcBorders>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4.62</w:t>
            </w:r>
          </w:p>
        </w:tc>
        <w:tc>
          <w:tcPr>
            <w:tcW w:w="1186" w:type="dxa"/>
            <w:gridSpan w:val="2"/>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4.62</w:t>
            </w: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705"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888"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sz w:val="24"/>
                <w:lang w:eastAsia="zh-CN"/>
              </w:rPr>
              <w:t>岳阳市君山区文化市场综合执法大队</w:t>
            </w:r>
          </w:p>
        </w:tc>
        <w:tc>
          <w:tcPr>
            <w:tcW w:w="1012" w:type="dxa"/>
            <w:tcBorders>
              <w:right w:val="single" w:color="auto" w:sz="4" w:space="0"/>
            </w:tcBorders>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1.51</w:t>
            </w:r>
          </w:p>
        </w:tc>
        <w:tc>
          <w:tcPr>
            <w:tcW w:w="1186" w:type="dxa"/>
            <w:gridSpan w:val="2"/>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1.51</w:t>
            </w: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705"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888"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05"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12" w:type="dxa"/>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186" w:type="dxa"/>
            <w:gridSpan w:val="2"/>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09"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705"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888"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12" w:type="dxa"/>
            <w:vMerge w:val="restart"/>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147" w:type="dxa"/>
            <w:gridSpan w:val="11"/>
            <w:tcBorders>
              <w:left w:val="single" w:color="auto" w:sz="4" w:space="0"/>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19" w:hRule="atLeast"/>
          <w:jc w:val="center"/>
        </w:trPr>
        <w:tc>
          <w:tcPr>
            <w:tcW w:w="1700" w:type="dxa"/>
            <w:gridSpan w:val="3"/>
            <w:vMerge w:val="continue"/>
            <w:noWrap w:val="0"/>
            <w:vAlign w:val="center"/>
          </w:tcPr>
          <w:p>
            <w:pPr>
              <w:spacing w:line="320" w:lineRule="exact"/>
              <w:jc w:val="center"/>
              <w:rPr>
                <w:rFonts w:ascii="仿宋_GB2312" w:hAnsi="仿宋_GB2312" w:eastAsia="仿宋_GB2312" w:cs="仿宋_GB2312"/>
                <w:sz w:val="24"/>
              </w:rPr>
            </w:pPr>
          </w:p>
        </w:tc>
        <w:tc>
          <w:tcPr>
            <w:tcW w:w="1012" w:type="dxa"/>
            <w:vMerge w:val="continue"/>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95" w:type="dxa"/>
            <w:gridSpan w:val="4"/>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52" w:type="dxa"/>
            <w:gridSpan w:val="7"/>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912"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12" w:type="dxa"/>
            <w:tcBorders>
              <w:right w:val="single" w:color="auto" w:sz="4" w:space="0"/>
            </w:tcBorders>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991.44</w:t>
            </w:r>
          </w:p>
        </w:tc>
        <w:tc>
          <w:tcPr>
            <w:tcW w:w="2495" w:type="dxa"/>
            <w:gridSpan w:val="4"/>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991.44</w:t>
            </w:r>
          </w:p>
        </w:tc>
        <w:tc>
          <w:tcPr>
            <w:tcW w:w="3652"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12" w:type="dxa"/>
            <w:tcBorders>
              <w:right w:val="single" w:color="auto" w:sz="4" w:space="0"/>
            </w:tcBorders>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970.19</w:t>
            </w:r>
          </w:p>
        </w:tc>
        <w:tc>
          <w:tcPr>
            <w:tcW w:w="2495" w:type="dxa"/>
            <w:gridSpan w:val="4"/>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970.19</w:t>
            </w:r>
          </w:p>
        </w:tc>
        <w:tc>
          <w:tcPr>
            <w:tcW w:w="3652"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sz w:val="24"/>
                <w:lang w:eastAsia="zh-CN"/>
              </w:rPr>
              <w:t>岳阳市君山区文化市场综合执法大队</w:t>
            </w:r>
          </w:p>
        </w:tc>
        <w:tc>
          <w:tcPr>
            <w:tcW w:w="1012" w:type="dxa"/>
            <w:tcBorders>
              <w:right w:val="single" w:color="auto" w:sz="4" w:space="0"/>
            </w:tcBorders>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21.25</w:t>
            </w:r>
          </w:p>
        </w:tc>
        <w:tc>
          <w:tcPr>
            <w:tcW w:w="2495" w:type="dxa"/>
            <w:gridSpan w:val="4"/>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21.25</w:t>
            </w:r>
          </w:p>
        </w:tc>
        <w:tc>
          <w:tcPr>
            <w:tcW w:w="3652"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64" w:hRule="atLeast"/>
          <w:jc w:val="center"/>
        </w:trPr>
        <w:tc>
          <w:tcPr>
            <w:tcW w:w="1700" w:type="dxa"/>
            <w:gridSpan w:val="3"/>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12" w:type="dxa"/>
            <w:tcBorders>
              <w:righ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95" w:type="dxa"/>
            <w:gridSpan w:val="4"/>
            <w:tcBorders>
              <w:left w:val="single" w:color="auto" w:sz="4" w:space="0"/>
            </w:tcBorders>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52"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560" w:hRule="atLeast"/>
          <w:jc w:val="center"/>
        </w:trPr>
        <w:tc>
          <w:tcPr>
            <w:tcW w:w="9800" w:type="dxa"/>
            <w:gridSpan w:val="1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441" w:type="dxa"/>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66" w:type="dxa"/>
            <w:gridSpan w:val="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593" w:type="dxa"/>
            <w:gridSpan w:val="9"/>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172"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3766" w:type="dxa"/>
            <w:gridSpan w:val="7"/>
            <w:noWrap w:val="0"/>
            <w:vAlign w:val="center"/>
          </w:tcPr>
          <w:p>
            <w:pPr>
              <w:autoSpaceDN w:val="0"/>
              <w:spacing w:line="320" w:lineRule="exact"/>
              <w:jc w:val="left"/>
              <w:textAlignment w:val="center"/>
              <w:rPr>
                <w:rFonts w:hint="eastAsia" w:ascii="仿宋" w:hAnsi="仿宋" w:eastAsia="仿宋" w:cs="仿宋"/>
                <w:sz w:val="24"/>
                <w:szCs w:val="24"/>
                <w:lang w:val="en-US" w:eastAsia="zh-CN"/>
              </w:rPr>
            </w:pPr>
            <w:r>
              <w:rPr>
                <w:rFonts w:hint="eastAsia"/>
                <w:lang w:eastAsia="zh-CN"/>
              </w:rPr>
              <w:t>目</w:t>
            </w:r>
            <w:r>
              <w:rPr>
                <w:rFonts w:hint="eastAsia" w:ascii="仿宋" w:hAnsi="仿宋" w:eastAsia="仿宋" w:cs="仿宋"/>
                <w:sz w:val="24"/>
                <w:szCs w:val="24"/>
                <w:lang w:val="en-US" w:eastAsia="zh-CN"/>
              </w:rPr>
              <w:t xml:space="preserve">标1：积极开展各类文化活动; </w:t>
            </w:r>
          </w:p>
          <w:p>
            <w:pPr>
              <w:autoSpaceDN w:val="0"/>
              <w:spacing w:line="320" w:lineRule="exact"/>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目标2：巡查保护文物资源; </w:t>
            </w:r>
          </w:p>
          <w:p>
            <w:pPr>
              <w:autoSpaceDN w:val="0"/>
              <w:spacing w:line="320" w:lineRule="exact"/>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任务3：推进非遗工作；</w:t>
            </w:r>
          </w:p>
          <w:p>
            <w:pPr>
              <w:autoSpaceDN w:val="0"/>
              <w:spacing w:line="320" w:lineRule="exact"/>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任务4：推进景区创建工作；</w:t>
            </w:r>
          </w:p>
          <w:p>
            <w:pPr>
              <w:autoSpaceDN w:val="0"/>
              <w:spacing w:line="320" w:lineRule="exact"/>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任务5：营造全民健身氛围；</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 w:hAnsi="仿宋" w:eastAsia="仿宋" w:cs="仿宋"/>
                <w:sz w:val="24"/>
                <w:szCs w:val="24"/>
                <w:lang w:val="en-US" w:eastAsia="zh-CN"/>
              </w:rPr>
              <w:t>任务6：加强执法队伍业务能力；</w:t>
            </w:r>
          </w:p>
        </w:tc>
        <w:tc>
          <w:tcPr>
            <w:tcW w:w="4593" w:type="dxa"/>
            <w:gridSpan w:val="9"/>
            <w:noWrap w:val="0"/>
            <w:vAlign w:val="center"/>
          </w:tcPr>
          <w:p>
            <w:pPr>
              <w:autoSpaceDN w:val="0"/>
              <w:spacing w:line="320" w:lineRule="exact"/>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开展“文化惠民·送戏下乡”系列活动55场，圆满完成了目标任务；自筹资金重新编排创作省级非遗代表性项目高山田歌《啰啰咚》及原创歌舞节目《君山千古情》；积极开展“欢乐潇湘”系列群众文化活动。</w:t>
            </w:r>
          </w:p>
          <w:p>
            <w:pPr>
              <w:autoSpaceDN w:val="0"/>
              <w:spacing w:line="320" w:lineRule="exact"/>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积极对接长江国家文化公园（岳阳段）建设，收集整理长江流域（君山段）文物资源，并展开巡查保护。</w:t>
            </w:r>
          </w:p>
          <w:p>
            <w:pPr>
              <w:autoSpaceDN w:val="0"/>
              <w:spacing w:line="320" w:lineRule="exact"/>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实现了君山区世界级非遗“零的突破”。</w:t>
            </w:r>
          </w:p>
          <w:p>
            <w:pPr>
              <w:autoSpaceDN w:val="0"/>
              <w:spacing w:line="320" w:lineRule="exact"/>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天井山森林公园已向市文旅广电局提交申报资料；“坐拥长江洞庭 爱在碧水君山”岳阳市君山区官方文旅旗舰店已正式上线，君山文旅从现实走向“云端”。</w:t>
            </w:r>
          </w:p>
          <w:p>
            <w:pPr>
              <w:autoSpaceDN w:val="0"/>
              <w:spacing w:line="320" w:lineRule="exact"/>
              <w:jc w:val="left"/>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成功举办了“422地球日”趣味公益跑、521岳阳·君山最美长江岸线绿色健康跑、君山区首届“君盛杯”等。</w:t>
            </w:r>
          </w:p>
          <w:p>
            <w:pPr>
              <w:autoSpaceDN w:val="0"/>
              <w:spacing w:line="320" w:lineRule="exact"/>
              <w:jc w:val="left"/>
              <w:textAlignment w:val="center"/>
              <w:rPr>
                <w:rFonts w:hint="default"/>
                <w:lang w:val="en-US" w:eastAsia="zh-CN"/>
              </w:rPr>
            </w:pPr>
            <w:r>
              <w:rPr>
                <w:rFonts w:hint="eastAsia" w:ascii="仿宋" w:hAnsi="仿宋" w:eastAsia="仿宋" w:cs="仿宋"/>
                <w:sz w:val="24"/>
                <w:szCs w:val="24"/>
                <w:lang w:val="en-US" w:eastAsia="zh-CN"/>
              </w:rPr>
              <w:t>我局执法大队充分利用视频监控功能，加强文化市场现场巡查。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441" w:type="dxa"/>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5"/>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684" w:type="dxa"/>
            <w:gridSpan w:val="5"/>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46"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w:t>
            </w:r>
            <w:r>
              <w:rPr>
                <w:rFonts w:hint="eastAsia" w:ascii="仿宋_GB2312" w:hAnsi="仿宋_GB2312" w:eastAsia="仿宋_GB2312" w:cs="仿宋_GB2312"/>
                <w:color w:val="000000"/>
                <w:sz w:val="24"/>
                <w:lang w:val="en-US" w:eastAsia="zh-CN"/>
              </w:rPr>
              <w:t>工区</w:t>
            </w:r>
            <w:r>
              <w:rPr>
                <w:rFonts w:hint="eastAsia" w:ascii="仿宋_GB2312" w:hAnsi="仿宋_GB2312" w:eastAsia="仿宋_GB2312" w:cs="仿宋_GB2312"/>
                <w:color w:val="000000"/>
                <w:sz w:val="24"/>
              </w:rPr>
              <w:t>委</w:t>
            </w:r>
            <w:r>
              <w:rPr>
                <w:rFonts w:hint="eastAsia" w:ascii="仿宋_GB2312" w:hAnsi="仿宋_GB2312" w:eastAsia="仿宋_GB2312" w:cs="仿宋_GB2312"/>
                <w:color w:val="000000"/>
                <w:sz w:val="24"/>
                <w:lang w:val="en-US" w:eastAsia="zh-CN"/>
              </w:rPr>
              <w:t>区</w:t>
            </w:r>
            <w:r>
              <w:rPr>
                <w:rFonts w:hint="eastAsia" w:ascii="仿宋_GB2312" w:hAnsi="仿宋_GB2312" w:eastAsia="仿宋_GB2312" w:cs="仿宋_GB2312"/>
                <w:color w:val="000000"/>
                <w:sz w:val="24"/>
              </w:rPr>
              <w:t>政府布置的重点工作、实事任务等，根据部门实际进行调整细化）</w:t>
            </w:r>
          </w:p>
        </w:tc>
        <w:tc>
          <w:tcPr>
            <w:tcW w:w="1417" w:type="dxa"/>
            <w:gridSpan w:val="2"/>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2709" w:type="dxa"/>
            <w:gridSpan w:val="5"/>
            <w:noWrap w:val="0"/>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val="en-US" w:eastAsia="zh-CN"/>
              </w:rPr>
              <w:t>提升公共文化服务水平</w:t>
            </w:r>
          </w:p>
        </w:tc>
        <w:tc>
          <w:tcPr>
            <w:tcW w:w="2684" w:type="dxa"/>
            <w:gridSpan w:val="5"/>
            <w:noWrap w:val="0"/>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12"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vMerge w:val="continue"/>
            <w:noWrap w:val="0"/>
            <w:vAlign w:val="center"/>
          </w:tcPr>
          <w:p>
            <w:pPr>
              <w:spacing w:line="320" w:lineRule="exact"/>
              <w:rPr>
                <w:rFonts w:ascii="仿宋_GB2312" w:hAnsi="仿宋_GB2312" w:eastAsia="仿宋_GB2312" w:cs="仿宋_GB2312"/>
                <w:sz w:val="24"/>
              </w:rPr>
            </w:pPr>
          </w:p>
        </w:tc>
        <w:tc>
          <w:tcPr>
            <w:tcW w:w="2709" w:type="dxa"/>
            <w:gridSpan w:val="5"/>
            <w:noWrap w:val="0"/>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000000"/>
                <w:sz w:val="24"/>
                <w:lang w:eastAsia="zh-CN"/>
              </w:rPr>
              <w:t>举办大型赛事活动</w:t>
            </w:r>
          </w:p>
        </w:tc>
        <w:tc>
          <w:tcPr>
            <w:tcW w:w="2684" w:type="dxa"/>
            <w:gridSpan w:val="5"/>
            <w:noWrap w:val="0"/>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2709" w:type="dxa"/>
            <w:gridSpan w:val="5"/>
            <w:noWrap w:val="0"/>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举办节会</w:t>
            </w:r>
          </w:p>
        </w:tc>
        <w:tc>
          <w:tcPr>
            <w:tcW w:w="2684" w:type="dxa"/>
            <w:gridSpan w:val="5"/>
            <w:noWrap w:val="0"/>
            <w:vAlign w:val="center"/>
          </w:tcPr>
          <w:p>
            <w:pPr>
              <w:autoSpaceDN w:val="0"/>
              <w:spacing w:line="320" w:lineRule="exact"/>
              <w:jc w:val="left"/>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lang w:val="en-US" w:eastAsia="zh-CN"/>
              </w:rPr>
              <w:t>举办“有味新洲村”美食节、濠河草莓节、良心堡油菜花节、有味新洲村美食节、4.22地球日活动、4.25系列活动、钱粮湖龙虾节、野生荷花旅游文化节、“秋游君山·乐在江湖”活动、君山丰收季等一系列节会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55"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vMerge w:val="continue"/>
            <w:noWrap w:val="0"/>
            <w:vAlign w:val="center"/>
          </w:tcPr>
          <w:p>
            <w:pPr>
              <w:autoSpaceDN w:val="0"/>
              <w:spacing w:line="320" w:lineRule="exact"/>
              <w:jc w:val="center"/>
              <w:textAlignment w:val="center"/>
              <w:rPr>
                <w:rFonts w:ascii="仿宋_GB2312" w:hAnsi="仿宋_GB2312" w:eastAsia="仿宋_GB2312" w:cs="仿宋_GB2312"/>
                <w:sz w:val="24"/>
              </w:rPr>
            </w:pPr>
          </w:p>
        </w:tc>
        <w:tc>
          <w:tcPr>
            <w:tcW w:w="2709" w:type="dxa"/>
            <w:gridSpan w:val="5"/>
            <w:noWrap w:val="0"/>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000000"/>
                <w:sz w:val="24"/>
                <w:lang w:val="en-US" w:eastAsia="zh-CN"/>
              </w:rPr>
              <w:t>开展免费培训工作</w:t>
            </w:r>
          </w:p>
        </w:tc>
        <w:tc>
          <w:tcPr>
            <w:tcW w:w="2684" w:type="dxa"/>
            <w:gridSpan w:val="5"/>
            <w:noWrap w:val="0"/>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lang w:val="en-US" w:eastAsia="zh-CN"/>
              </w:rPr>
              <w:t>开展了15期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2709" w:type="dxa"/>
            <w:gridSpan w:val="5"/>
            <w:noWrap w:val="0"/>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指标1：按时间节点完成各项工作计划。</w:t>
            </w:r>
          </w:p>
        </w:tc>
        <w:tc>
          <w:tcPr>
            <w:tcW w:w="2684" w:type="dxa"/>
            <w:gridSpan w:val="5"/>
            <w:noWrap w:val="0"/>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已按时间进度完成工作计划。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47"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vMerge w:val="continue"/>
            <w:noWrap w:val="0"/>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709" w:type="dxa"/>
            <w:gridSpan w:val="5"/>
            <w:noWrap w:val="0"/>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指标2：项目建设在当年12月前完。</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2684" w:type="dxa"/>
            <w:gridSpan w:val="5"/>
            <w:noWrap w:val="0"/>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2022年12年已完成全部项目建设。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88"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2709" w:type="dxa"/>
            <w:gridSpan w:val="5"/>
            <w:noWrap w:val="0"/>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预算控制数</w:t>
            </w:r>
          </w:p>
        </w:tc>
        <w:tc>
          <w:tcPr>
            <w:tcW w:w="2684" w:type="dxa"/>
            <w:gridSpan w:val="5"/>
            <w:noWrap w:val="0"/>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控制在预算经费内</w:t>
            </w:r>
          </w:p>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restart"/>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2709" w:type="dxa"/>
            <w:gridSpan w:val="5"/>
            <w:noWrap w:val="0"/>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全民参与体育赛事</w:t>
            </w:r>
          </w:p>
        </w:tc>
        <w:tc>
          <w:tcPr>
            <w:tcW w:w="2684" w:type="dxa"/>
            <w:gridSpan w:val="5"/>
            <w:noWrap w:val="0"/>
            <w:vAlign w:val="center"/>
          </w:tcPr>
          <w:p>
            <w:pPr>
              <w:autoSpaceDN w:val="0"/>
              <w:spacing w:line="320" w:lineRule="exact"/>
              <w:jc w:val="both"/>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举办“422地球日”趣味公益跑等体育赛事活动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2709" w:type="dxa"/>
            <w:gridSpan w:val="5"/>
            <w:noWrap w:val="0"/>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体彩销售额增长</w:t>
            </w:r>
          </w:p>
        </w:tc>
        <w:tc>
          <w:tcPr>
            <w:tcW w:w="2684" w:type="dxa"/>
            <w:gridSpan w:val="5"/>
            <w:noWrap w:val="0"/>
            <w:vAlign w:val="center"/>
          </w:tcPr>
          <w:p>
            <w:pPr>
              <w:autoSpaceDN w:val="0"/>
              <w:spacing w:line="320" w:lineRule="exact"/>
              <w:jc w:val="both"/>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完成体育彩票销售总额约1.2亿元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2709" w:type="dxa"/>
            <w:gridSpan w:val="5"/>
            <w:noWrap w:val="0"/>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：对生态环境所带来的直接或间接影响。</w:t>
            </w:r>
          </w:p>
        </w:tc>
        <w:tc>
          <w:tcPr>
            <w:tcW w:w="2684" w:type="dxa"/>
            <w:gridSpan w:val="5"/>
            <w:noWrap w:val="0"/>
            <w:vAlign w:val="center"/>
          </w:tcPr>
          <w:p>
            <w:pPr>
              <w:autoSpaceDN w:val="0"/>
              <w:spacing w:line="320" w:lineRule="exact"/>
              <w:jc w:val="both"/>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整体提高生态绿色旅游成果，倡导人与自然和谐共生。</w:t>
            </w:r>
          </w:p>
          <w:p>
            <w:pPr>
              <w:autoSpaceDN w:val="0"/>
              <w:spacing w:line="320" w:lineRule="exact"/>
              <w:jc w:val="both"/>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noWrap w:val="0"/>
            <w:vAlign w:val="center"/>
          </w:tcPr>
          <w:p>
            <w:pPr>
              <w:spacing w:line="320" w:lineRule="exact"/>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rPr>
                <w:rFonts w:ascii="仿宋_GB2312" w:hAnsi="仿宋_GB2312" w:eastAsia="仿宋_GB2312" w:cs="仿宋_GB2312"/>
                <w:sz w:val="24"/>
              </w:rPr>
            </w:pPr>
          </w:p>
        </w:tc>
        <w:tc>
          <w:tcPr>
            <w:tcW w:w="1417"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2709" w:type="dxa"/>
            <w:gridSpan w:val="5"/>
            <w:noWrap w:val="0"/>
            <w:vAlign w:val="bottom"/>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指标：民众的满意度95%以上。</w:t>
            </w:r>
          </w:p>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684" w:type="dxa"/>
            <w:gridSpan w:val="5"/>
            <w:noWrap w:val="0"/>
            <w:vAlign w:val="center"/>
          </w:tcPr>
          <w:p>
            <w:pPr>
              <w:autoSpaceDN w:val="0"/>
              <w:spacing w:line="320" w:lineRule="exact"/>
              <w:jc w:val="both"/>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民众满意度达98%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2990" w:type="dxa"/>
            <w:gridSpan w:val="5"/>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noWrap w:val="0"/>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2990" w:type="dxa"/>
            <w:gridSpan w:val="5"/>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noWrap w:val="0"/>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9800" w:type="dxa"/>
            <w:gridSpan w:val="17"/>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53" w:type="dxa"/>
            <w:gridSpan w:val="6"/>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106" w:type="dxa"/>
            <w:gridSpan w:val="8"/>
            <w:noWrap w:val="0"/>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noWrap w:val="0"/>
            <w:vAlign w:val="center"/>
          </w:tcPr>
          <w:p>
            <w:pPr>
              <w:autoSpaceDN w:val="0"/>
              <w:spacing w:line="320" w:lineRule="exact"/>
              <w:jc w:val="center"/>
              <w:textAlignment w:val="center"/>
              <w:rPr>
                <w:rFonts w:hint="default"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kern w:val="2"/>
                <w:sz w:val="24"/>
                <w:szCs w:val="24"/>
                <w:highlight w:val="none"/>
                <w:lang w:val="en-US" w:eastAsia="zh-CN" w:bidi="ar-SA"/>
              </w:rPr>
              <w:t>王吉平</w:t>
            </w:r>
          </w:p>
        </w:tc>
        <w:tc>
          <w:tcPr>
            <w:tcW w:w="3553" w:type="dxa"/>
            <w:gridSpan w:val="6"/>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党组</w:t>
            </w:r>
            <w:r>
              <w:rPr>
                <w:rFonts w:hint="eastAsia" w:ascii="仿宋_GB2312" w:hAnsi="仿宋_GB2312" w:eastAsia="仿宋_GB2312" w:cs="仿宋_GB2312"/>
                <w:color w:val="000000"/>
                <w:sz w:val="24"/>
                <w:highlight w:val="none"/>
                <w:lang w:eastAsia="zh-CN"/>
              </w:rPr>
              <w:t>书记</w:t>
            </w:r>
            <w:r>
              <w:rPr>
                <w:rFonts w:hint="eastAsia" w:ascii="仿宋_GB2312" w:hAnsi="仿宋_GB2312" w:eastAsia="仿宋_GB2312" w:cs="仿宋_GB2312"/>
                <w:color w:val="000000"/>
                <w:sz w:val="24"/>
                <w:highlight w:val="none"/>
              </w:rPr>
              <w:t>、局长</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文旅</w:t>
            </w:r>
            <w:r>
              <w:rPr>
                <w:rFonts w:hint="eastAsia" w:ascii="仿宋_GB2312" w:hAnsi="仿宋_GB2312" w:eastAsia="仿宋_GB2312" w:cs="仿宋_GB2312"/>
                <w:color w:val="000000"/>
                <w:sz w:val="24"/>
                <w:highlight w:val="none"/>
                <w:lang w:eastAsia="zh-CN"/>
              </w:rPr>
              <w:t>广</w:t>
            </w:r>
            <w:r>
              <w:rPr>
                <w:rFonts w:hint="eastAsia" w:ascii="仿宋_GB2312" w:hAnsi="仿宋_GB2312" w:eastAsia="仿宋_GB2312" w:cs="仿宋_GB2312"/>
                <w:color w:val="000000"/>
                <w:sz w:val="24"/>
                <w:highlight w:val="none"/>
              </w:rPr>
              <w:t>体局</w:t>
            </w:r>
          </w:p>
        </w:tc>
        <w:tc>
          <w:tcPr>
            <w:tcW w:w="3106" w:type="dxa"/>
            <w:gridSpan w:val="8"/>
            <w:noWrap w:val="0"/>
            <w:vAlign w:val="center"/>
          </w:tcPr>
          <w:p>
            <w:pPr>
              <w:autoSpaceDN w:val="0"/>
              <w:spacing w:line="320" w:lineRule="exact"/>
              <w:jc w:val="center"/>
              <w:textAlignment w:val="center"/>
              <w:rPr>
                <w:rFonts w:ascii="仿宋_GB2312" w:hAnsi="仿宋_GB2312" w:eastAsia="仿宋_GB2312" w:cs="仿宋_GB2312"/>
                <w:color w:val="00000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noWrap w:val="0"/>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lang w:eastAsia="zh-CN"/>
              </w:rPr>
              <w:t>程志武</w:t>
            </w:r>
          </w:p>
        </w:tc>
        <w:tc>
          <w:tcPr>
            <w:tcW w:w="3553" w:type="dxa"/>
            <w:gridSpan w:val="6"/>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党组成员、副局长</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文旅</w:t>
            </w:r>
            <w:r>
              <w:rPr>
                <w:rFonts w:hint="eastAsia" w:ascii="仿宋_GB2312" w:hAnsi="仿宋_GB2312" w:eastAsia="仿宋_GB2312" w:cs="仿宋_GB2312"/>
                <w:color w:val="000000"/>
                <w:sz w:val="24"/>
                <w:highlight w:val="none"/>
                <w:lang w:eastAsia="zh-CN"/>
              </w:rPr>
              <w:t>广</w:t>
            </w:r>
            <w:r>
              <w:rPr>
                <w:rFonts w:hint="eastAsia" w:ascii="仿宋_GB2312" w:hAnsi="仿宋_GB2312" w:eastAsia="仿宋_GB2312" w:cs="仿宋_GB2312"/>
                <w:color w:val="000000"/>
                <w:sz w:val="24"/>
                <w:highlight w:val="none"/>
              </w:rPr>
              <w:t>体局</w:t>
            </w:r>
          </w:p>
        </w:tc>
        <w:tc>
          <w:tcPr>
            <w:tcW w:w="3106" w:type="dxa"/>
            <w:gridSpan w:val="8"/>
            <w:noWrap w:val="0"/>
            <w:vAlign w:val="center"/>
          </w:tcPr>
          <w:p>
            <w:pPr>
              <w:autoSpaceDN w:val="0"/>
              <w:spacing w:line="320" w:lineRule="exact"/>
              <w:jc w:val="center"/>
              <w:textAlignment w:val="center"/>
              <w:rPr>
                <w:rFonts w:ascii="仿宋_GB2312" w:hAnsi="仿宋_GB2312" w:eastAsia="仿宋_GB2312" w:cs="仿宋_GB2312"/>
                <w:color w:val="00000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noWrap w:val="0"/>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lang w:eastAsia="zh-CN"/>
              </w:rPr>
              <w:t>肖靖怡</w:t>
            </w:r>
          </w:p>
        </w:tc>
        <w:tc>
          <w:tcPr>
            <w:tcW w:w="3553" w:type="dxa"/>
            <w:gridSpan w:val="6"/>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党组成员、副局长</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文旅</w:t>
            </w:r>
            <w:r>
              <w:rPr>
                <w:rFonts w:hint="eastAsia" w:ascii="仿宋_GB2312" w:hAnsi="仿宋_GB2312" w:eastAsia="仿宋_GB2312" w:cs="仿宋_GB2312"/>
                <w:color w:val="000000"/>
                <w:sz w:val="24"/>
                <w:highlight w:val="none"/>
                <w:lang w:eastAsia="zh-CN"/>
              </w:rPr>
              <w:t>广</w:t>
            </w:r>
            <w:r>
              <w:rPr>
                <w:rFonts w:hint="eastAsia" w:ascii="仿宋_GB2312" w:hAnsi="仿宋_GB2312" w:eastAsia="仿宋_GB2312" w:cs="仿宋_GB2312"/>
                <w:color w:val="000000"/>
                <w:sz w:val="24"/>
                <w:highlight w:val="none"/>
              </w:rPr>
              <w:t>体局</w:t>
            </w:r>
          </w:p>
        </w:tc>
        <w:tc>
          <w:tcPr>
            <w:tcW w:w="3106" w:type="dxa"/>
            <w:gridSpan w:val="8"/>
            <w:noWrap w:val="0"/>
            <w:vAlign w:val="center"/>
          </w:tcPr>
          <w:p>
            <w:pPr>
              <w:autoSpaceDN w:val="0"/>
              <w:spacing w:line="320" w:lineRule="exact"/>
              <w:jc w:val="center"/>
              <w:textAlignment w:val="center"/>
              <w:rPr>
                <w:rFonts w:ascii="仿宋_GB2312" w:hAnsi="仿宋_GB2312" w:eastAsia="仿宋_GB2312" w:cs="仿宋_GB2312"/>
                <w:color w:val="00000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kern w:val="2"/>
                <w:sz w:val="24"/>
                <w:szCs w:val="24"/>
                <w:highlight w:val="none"/>
                <w:lang w:val="en-US" w:eastAsia="zh-CN" w:bidi="ar-SA"/>
              </w:rPr>
              <w:t>刘素凤</w:t>
            </w:r>
          </w:p>
        </w:tc>
        <w:tc>
          <w:tcPr>
            <w:tcW w:w="3553" w:type="dxa"/>
            <w:gridSpan w:val="6"/>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kern w:val="2"/>
                <w:sz w:val="24"/>
                <w:szCs w:val="24"/>
                <w:highlight w:val="none"/>
                <w:lang w:val="en-US" w:eastAsia="zh-CN" w:bidi="ar-SA"/>
              </w:rPr>
              <w:t>政工计财股股长</w:t>
            </w:r>
          </w:p>
        </w:tc>
        <w:tc>
          <w:tcPr>
            <w:tcW w:w="1487" w:type="dxa"/>
            <w:noWrap w:val="0"/>
            <w:vAlign w:val="center"/>
          </w:tcPr>
          <w:p>
            <w:pPr>
              <w:autoSpaceDN w:val="0"/>
              <w:spacing w:line="320" w:lineRule="exact"/>
              <w:jc w:val="center"/>
              <w:textAlignment w:val="center"/>
              <w:rPr>
                <w:rFonts w:ascii="仿宋_GB2312" w:hAnsi="仿宋_GB2312" w:eastAsia="仿宋_GB2312" w:cs="仿宋_GB2312"/>
                <w:color w:val="000000"/>
                <w:kern w:val="2"/>
                <w:sz w:val="24"/>
                <w:szCs w:val="24"/>
                <w:highlight w:val="none"/>
                <w:lang w:val="en-US" w:eastAsia="zh-CN"/>
              </w:rPr>
            </w:pPr>
            <w:r>
              <w:rPr>
                <w:rFonts w:hint="eastAsia" w:ascii="仿宋_GB2312" w:hAnsi="仿宋_GB2312" w:eastAsia="仿宋_GB2312" w:cs="仿宋_GB2312"/>
                <w:color w:val="000000"/>
                <w:sz w:val="24"/>
                <w:highlight w:val="none"/>
              </w:rPr>
              <w:t>文旅</w:t>
            </w:r>
            <w:r>
              <w:rPr>
                <w:rFonts w:hint="eastAsia" w:ascii="仿宋_GB2312" w:hAnsi="仿宋_GB2312" w:eastAsia="仿宋_GB2312" w:cs="仿宋_GB2312"/>
                <w:color w:val="000000"/>
                <w:sz w:val="24"/>
                <w:highlight w:val="none"/>
                <w:lang w:eastAsia="zh-CN"/>
              </w:rPr>
              <w:t>广</w:t>
            </w:r>
            <w:r>
              <w:rPr>
                <w:rFonts w:hint="eastAsia" w:ascii="仿宋_GB2312" w:hAnsi="仿宋_GB2312" w:eastAsia="仿宋_GB2312" w:cs="仿宋_GB2312"/>
                <w:color w:val="000000"/>
                <w:sz w:val="24"/>
                <w:highlight w:val="none"/>
              </w:rPr>
              <w:t>体局</w:t>
            </w:r>
          </w:p>
        </w:tc>
        <w:tc>
          <w:tcPr>
            <w:tcW w:w="3106" w:type="dxa"/>
            <w:gridSpan w:val="8"/>
            <w:noWrap w:val="0"/>
            <w:vAlign w:val="center"/>
          </w:tcPr>
          <w:p>
            <w:pPr>
              <w:autoSpaceDN w:val="0"/>
              <w:spacing w:line="320" w:lineRule="exact"/>
              <w:jc w:val="center"/>
              <w:textAlignment w:val="center"/>
              <w:rPr>
                <w:rFonts w:ascii="仿宋_GB2312" w:hAnsi="仿宋_GB2312" w:eastAsia="仿宋_GB2312" w:cs="仿宋_GB2312"/>
                <w:color w:val="00000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722" w:hRule="atLeast"/>
          <w:jc w:val="center"/>
        </w:trPr>
        <w:tc>
          <w:tcPr>
            <w:tcW w:w="9800" w:type="dxa"/>
            <w:gridSpan w:val="17"/>
            <w:noWrap w:val="0"/>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722" w:hRule="atLeast"/>
          <w:jc w:val="center"/>
        </w:trPr>
        <w:tc>
          <w:tcPr>
            <w:tcW w:w="9800" w:type="dxa"/>
            <w:gridSpan w:val="17"/>
            <w:noWrap w:val="0"/>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794" w:hRule="atLeast"/>
          <w:jc w:val="center"/>
        </w:trPr>
        <w:tc>
          <w:tcPr>
            <w:tcW w:w="9800" w:type="dxa"/>
            <w:gridSpan w:val="17"/>
            <w:noWrap w:val="0"/>
            <w:vAlign w:val="center"/>
          </w:tcPr>
          <w:p>
            <w:pPr>
              <w:spacing w:line="320" w:lineRule="exact"/>
              <w:rPr>
                <w:rFonts w:eastAsia="仿宋_GB2312"/>
                <w:sz w:val="24"/>
              </w:rPr>
            </w:pPr>
            <w:r>
              <w:rPr>
                <w:rFonts w:hint="eastAsia" w:eastAsia="仿宋_GB2312"/>
                <w:sz w:val="24"/>
              </w:rPr>
              <w:t>财政部门归口业务科室意见：</w:t>
            </w:r>
          </w:p>
          <w:p>
            <w:pPr>
              <w:spacing w:line="320" w:lineRule="exact"/>
              <w:rPr>
                <w:rFonts w:eastAsia="仿宋_GB2312"/>
                <w:sz w:val="24"/>
              </w:rPr>
            </w:pPr>
          </w:p>
          <w:p>
            <w:pPr>
              <w:spacing w:line="320" w:lineRule="exact"/>
              <w:rPr>
                <w:rFonts w:eastAsia="仿宋_GB2312"/>
                <w:sz w:val="24"/>
              </w:rPr>
            </w:pPr>
          </w:p>
          <w:p>
            <w:pPr>
              <w:spacing w:line="320" w:lineRule="exact"/>
              <w:rPr>
                <w:rFonts w:eastAsia="仿宋_GB2312"/>
                <w:sz w:val="24"/>
              </w:rPr>
            </w:pPr>
          </w:p>
          <w:p>
            <w:pPr>
              <w:spacing w:line="320" w:lineRule="exact"/>
              <w:rPr>
                <w:rFonts w:eastAsia="仿宋_GB2312"/>
                <w:sz w:val="24"/>
              </w:rPr>
            </w:pPr>
          </w:p>
          <w:p>
            <w:pPr>
              <w:spacing w:line="320" w:lineRule="exact"/>
              <w:rPr>
                <w:rFonts w:eastAsia="仿宋_GB2312"/>
                <w:sz w:val="24"/>
              </w:rPr>
            </w:pPr>
            <w:r>
              <w:rPr>
                <w:rFonts w:hint="eastAsia" w:eastAsia="仿宋_GB2312"/>
                <w:sz w:val="24"/>
              </w:rPr>
              <w:t xml:space="preserve">                                  财政部门归口业务股室负责人（签章）：</w:t>
            </w:r>
          </w:p>
          <w:p>
            <w:pPr>
              <w:autoSpaceDN w:val="0"/>
              <w:spacing w:line="320" w:lineRule="exact"/>
              <w:jc w:val="left"/>
              <w:textAlignment w:val="center"/>
              <w:rPr>
                <w:rFonts w:ascii="仿宋_GB2312" w:hAnsi="仿宋_GB2312" w:eastAsia="仿宋_GB2312" w:cs="仿宋_GB2312"/>
                <w:color w:val="000000"/>
                <w:sz w:val="24"/>
              </w:rPr>
            </w:pPr>
            <w:r>
              <w:rPr>
                <w:rFonts w:hint="eastAsia" w:eastAsia="仿宋_GB2312"/>
                <w:sz w:val="24"/>
              </w:rPr>
              <w:t xml:space="preserve">                                                                 年    月   日</w:t>
            </w:r>
          </w:p>
        </w:tc>
      </w:tr>
    </w:tbl>
    <w:p>
      <w:pPr>
        <w:rPr>
          <w:rFonts w:eastAsia="仿宋_GB2312" w:cs="仿宋_GB2312"/>
          <w:bCs/>
          <w:sz w:val="28"/>
          <w:szCs w:val="28"/>
        </w:rPr>
      </w:pPr>
      <w:r>
        <w:rPr>
          <w:rFonts w:hint="eastAsia" w:eastAsia="仿宋_GB2312" w:cs="仿宋_GB2312"/>
          <w:bCs/>
          <w:sz w:val="28"/>
          <w:szCs w:val="28"/>
        </w:rPr>
        <w:t>填报人（签名）：                          联系电话：</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noWrap w:val="0"/>
            <w:vAlign w:val="top"/>
          </w:tcPr>
          <w:p>
            <w:pPr>
              <w:jc w:val="center"/>
              <w:rPr>
                <w:rFonts w:ascii="黑体" w:hAnsi="黑体" w:eastAsia="黑体" w:cs="黑体"/>
                <w:bCs/>
                <w:sz w:val="28"/>
                <w:szCs w:val="28"/>
              </w:rPr>
            </w:pPr>
            <w:r>
              <w:rPr>
                <w:rFonts w:hint="eastAsia" w:ascii="黑体" w:hAnsi="黑体" w:eastAsia="黑体" w:cs="黑体"/>
                <w:bCs/>
                <w:sz w:val="28"/>
                <w:szCs w:val="28"/>
              </w:rPr>
              <w:t>五、评价报告综述（文字部分）</w:t>
            </w:r>
          </w:p>
          <w:p>
            <w:pPr>
              <w:spacing w:line="440" w:lineRule="exact"/>
              <w:ind w:firstLine="640" w:firstLineChars="200"/>
              <w:rPr>
                <w:rFonts w:eastAsia="仿宋_GB2312"/>
                <w:sz w:val="32"/>
                <w:szCs w:val="32"/>
              </w:rPr>
            </w:pP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一、部门（单位）概况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本单位成立于2016年6月，系区财务全额预算拨款单位。单位主要职能是：贯彻党和国家有关文化艺术、旅游业、</w:t>
            </w:r>
            <w:r>
              <w:rPr>
                <w:rFonts w:hint="eastAsia" w:ascii="仿宋_GB2312" w:hAnsi="仿宋_GB2312" w:eastAsia="仿宋_GB2312" w:cs="仿宋_GB2312"/>
                <w:bCs/>
                <w:sz w:val="28"/>
                <w:szCs w:val="28"/>
                <w:lang w:eastAsia="zh-CN"/>
              </w:rPr>
              <w:t>体育业</w:t>
            </w:r>
            <w:r>
              <w:rPr>
                <w:rFonts w:hint="eastAsia" w:ascii="仿宋_GB2312" w:hAnsi="仿宋_GB2312" w:eastAsia="仿宋_GB2312" w:cs="仿宋_GB2312"/>
                <w:bCs/>
                <w:sz w:val="28"/>
                <w:szCs w:val="28"/>
              </w:rPr>
              <w:t>工作的路线、方针政策，和法律、法规、规章制度、把握正确的舆论和制作导向。指导管理全区文学艺术事业，指导艺术创作与生产和，推动文化节、体育、旅游领域的公共文化服务，规划和引导公共文化产品生产，指导全区重点文化体育设施建设和基层文化体育设施建设，指导、管理全区社会文化事业。推动全区群众体育和竞技体育事业的发展，负责全区旅游安全的综合协调。监督管理等工作。20</w:t>
            </w:r>
            <w:r>
              <w:rPr>
                <w:rFonts w:hint="eastAsia" w:ascii="仿宋_GB2312" w:hAnsi="仿宋_GB2312" w:eastAsia="仿宋_GB2312" w:cs="仿宋_GB2312"/>
                <w:bCs/>
                <w:sz w:val="28"/>
                <w:szCs w:val="28"/>
                <w:lang w:val="en-US" w:eastAsia="zh-CN"/>
              </w:rPr>
              <w:t>22</w:t>
            </w:r>
            <w:r>
              <w:rPr>
                <w:rFonts w:hint="eastAsia" w:ascii="仿宋_GB2312" w:hAnsi="仿宋_GB2312" w:eastAsia="仿宋_GB2312" w:cs="仿宋_GB2312"/>
                <w:bCs/>
                <w:sz w:val="28"/>
                <w:szCs w:val="28"/>
              </w:rPr>
              <w:t>年</w:t>
            </w:r>
            <w:r>
              <w:rPr>
                <w:rFonts w:hint="eastAsia" w:ascii="仿宋_GB2312" w:hAnsi="仿宋_GB2312" w:eastAsia="仿宋_GB2312" w:cs="仿宋_GB2312"/>
                <w:bCs/>
                <w:sz w:val="28"/>
                <w:szCs w:val="28"/>
                <w:lang w:eastAsia="zh-CN"/>
              </w:rPr>
              <w:t>编办核实岳阳市君山区</w:t>
            </w:r>
            <w:r>
              <w:rPr>
                <w:rFonts w:hint="eastAsia" w:ascii="仿宋_GB2312" w:hAnsi="仿宋_GB2312" w:eastAsia="仿宋_GB2312" w:cs="仿宋_GB2312"/>
                <w:bCs/>
                <w:sz w:val="28"/>
                <w:szCs w:val="28"/>
              </w:rPr>
              <w:t>文化旅游广电体育局部门编制</w:t>
            </w:r>
            <w:r>
              <w:rPr>
                <w:rFonts w:hint="eastAsia" w:ascii="仿宋_GB2312" w:hAnsi="仿宋_GB2312" w:eastAsia="仿宋_GB2312" w:cs="仿宋_GB2312"/>
                <w:bCs/>
                <w:sz w:val="28"/>
                <w:szCs w:val="28"/>
                <w:lang w:val="en-US" w:eastAsia="zh-CN"/>
              </w:rPr>
              <w:t>38人，在职人数38人</w:t>
            </w:r>
            <w:r>
              <w:rPr>
                <w:rFonts w:hint="eastAsia" w:ascii="仿宋_GB2312" w:hAnsi="仿宋_GB2312" w:eastAsia="仿宋_GB2312" w:cs="仿宋_GB2312"/>
                <w:bCs/>
                <w:sz w:val="28"/>
                <w:szCs w:val="28"/>
              </w:rPr>
              <w:t>。</w:t>
            </w:r>
          </w:p>
          <w:p>
            <w:pPr>
              <w:numPr>
                <w:ilvl w:val="0"/>
                <w:numId w:val="2"/>
              </w:num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部门（单位）整体支出规模、使用方向和主要内容、涉及范围等</w:t>
            </w:r>
          </w:p>
          <w:p>
            <w:pPr>
              <w:spacing w:line="560" w:lineRule="exact"/>
              <w:ind w:firstLine="560" w:firstLineChars="200"/>
            </w:pPr>
            <w:r>
              <w:rPr>
                <w:rFonts w:hint="eastAsia" w:ascii="仿宋_GB2312" w:hAnsi="仿宋_GB2312" w:eastAsia="仿宋_GB2312" w:cs="仿宋_GB2312"/>
                <w:bCs/>
                <w:sz w:val="28"/>
                <w:szCs w:val="28"/>
              </w:rPr>
              <w:t>20</w:t>
            </w:r>
            <w:r>
              <w:rPr>
                <w:rFonts w:hint="eastAsia" w:ascii="仿宋_GB2312" w:hAnsi="仿宋_GB2312" w:eastAsia="仿宋_GB2312" w:cs="仿宋_GB2312"/>
                <w:bCs/>
                <w:sz w:val="28"/>
                <w:szCs w:val="28"/>
                <w:lang w:val="en-US" w:eastAsia="zh-CN"/>
              </w:rPr>
              <w:t>22</w:t>
            </w:r>
            <w:r>
              <w:rPr>
                <w:rFonts w:hint="eastAsia" w:ascii="仿宋_GB2312" w:hAnsi="仿宋_GB2312" w:eastAsia="仿宋_GB2312" w:cs="仿宋_GB2312"/>
                <w:bCs/>
                <w:sz w:val="28"/>
                <w:szCs w:val="28"/>
              </w:rPr>
              <w:t>年，</w:t>
            </w:r>
            <w:r>
              <w:rPr>
                <w:rFonts w:hint="eastAsia" w:ascii="仿宋_GB2312" w:hAnsi="仿宋_GB2312" w:eastAsia="仿宋_GB2312" w:cs="仿宋_GB2312"/>
                <w:bCs/>
                <w:sz w:val="28"/>
                <w:szCs w:val="28"/>
                <w:lang w:eastAsia="zh-CN"/>
              </w:rPr>
              <w:t>本部门整体</w:t>
            </w:r>
            <w:r>
              <w:rPr>
                <w:rFonts w:hint="eastAsia" w:ascii="仿宋_GB2312" w:hAnsi="仿宋_GB2312" w:eastAsia="仿宋_GB2312" w:cs="仿宋_GB2312"/>
                <w:bCs/>
                <w:sz w:val="28"/>
                <w:szCs w:val="28"/>
              </w:rPr>
              <w:t>共计收入</w:t>
            </w:r>
            <w:r>
              <w:rPr>
                <w:rFonts w:hint="eastAsia" w:ascii="仿宋_GB2312" w:hAnsi="仿宋_GB2312" w:eastAsia="仿宋_GB2312" w:cs="仿宋_GB2312"/>
                <w:bCs/>
                <w:sz w:val="28"/>
                <w:szCs w:val="28"/>
                <w:lang w:val="en-US" w:eastAsia="zh-CN"/>
              </w:rPr>
              <w:t>1961.56</w:t>
            </w:r>
            <w:r>
              <w:rPr>
                <w:rFonts w:hint="eastAsia" w:ascii="仿宋_GB2312" w:hAnsi="仿宋_GB2312" w:eastAsia="仿宋_GB2312" w:cs="仿宋_GB2312"/>
                <w:bCs/>
                <w:sz w:val="28"/>
                <w:szCs w:val="28"/>
              </w:rPr>
              <w:t>万元，其中</w:t>
            </w:r>
            <w:r>
              <w:rPr>
                <w:rFonts w:hint="eastAsia" w:ascii="仿宋_GB2312" w:hAnsi="仿宋_GB2312" w:eastAsia="仿宋_GB2312" w:cs="仿宋_GB2312"/>
                <w:bCs/>
                <w:sz w:val="28"/>
                <w:szCs w:val="28"/>
                <w:lang w:eastAsia="zh-CN"/>
              </w:rPr>
              <w:t>公共</w:t>
            </w:r>
            <w:r>
              <w:rPr>
                <w:rFonts w:hint="eastAsia" w:ascii="仿宋_GB2312" w:hAnsi="仿宋_GB2312" w:eastAsia="仿宋_GB2312" w:cs="仿宋_GB2312"/>
                <w:bCs/>
                <w:sz w:val="28"/>
                <w:szCs w:val="28"/>
              </w:rPr>
              <w:t>财政拨款收入</w:t>
            </w:r>
            <w:r>
              <w:rPr>
                <w:rFonts w:hint="eastAsia" w:ascii="仿宋_GB2312" w:hAnsi="仿宋_GB2312" w:eastAsia="仿宋_GB2312" w:cs="仿宋_GB2312"/>
                <w:bCs/>
                <w:sz w:val="28"/>
                <w:szCs w:val="28"/>
                <w:lang w:val="en-US" w:eastAsia="zh-CN"/>
              </w:rPr>
              <w:t>1123.85</w:t>
            </w:r>
            <w:r>
              <w:rPr>
                <w:rFonts w:hint="eastAsia" w:ascii="仿宋_GB2312" w:hAnsi="仿宋_GB2312" w:eastAsia="仿宋_GB2312" w:cs="仿宋_GB2312"/>
                <w:bCs/>
                <w:sz w:val="28"/>
                <w:szCs w:val="28"/>
              </w:rPr>
              <w:t>万元，</w:t>
            </w:r>
            <w:r>
              <w:rPr>
                <w:rFonts w:hint="eastAsia" w:ascii="仿宋_GB2312" w:hAnsi="仿宋_GB2312" w:eastAsia="仿宋_GB2312" w:cs="仿宋_GB2312"/>
                <w:bCs/>
                <w:sz w:val="28"/>
                <w:szCs w:val="28"/>
                <w:lang w:eastAsia="zh-CN"/>
              </w:rPr>
              <w:t>政府基金拨款</w:t>
            </w:r>
            <w:r>
              <w:rPr>
                <w:rFonts w:hint="eastAsia" w:ascii="仿宋_GB2312" w:hAnsi="仿宋_GB2312" w:eastAsia="仿宋_GB2312" w:cs="仿宋_GB2312"/>
                <w:bCs/>
                <w:sz w:val="28"/>
                <w:szCs w:val="28"/>
                <w:lang w:val="en-US" w:eastAsia="zh-CN"/>
              </w:rPr>
              <w:t>625.4万元；</w:t>
            </w:r>
            <w:r>
              <w:rPr>
                <w:rFonts w:hint="eastAsia" w:ascii="仿宋_GB2312" w:hAnsi="仿宋_GB2312" w:eastAsia="仿宋_GB2312" w:cs="仿宋_GB2312"/>
                <w:bCs/>
                <w:sz w:val="28"/>
                <w:szCs w:val="28"/>
                <w:lang w:eastAsia="zh-CN"/>
              </w:rPr>
              <w:t>其他收入</w:t>
            </w:r>
            <w:r>
              <w:rPr>
                <w:rFonts w:hint="eastAsia" w:ascii="仿宋_GB2312" w:hAnsi="仿宋_GB2312" w:eastAsia="仿宋_GB2312" w:cs="仿宋_GB2312"/>
                <w:bCs/>
                <w:sz w:val="28"/>
                <w:szCs w:val="28"/>
                <w:lang w:val="en-US" w:eastAsia="zh-CN"/>
              </w:rPr>
              <w:t>212.31</w:t>
            </w:r>
            <w:r>
              <w:rPr>
                <w:rFonts w:hint="eastAsia" w:ascii="仿宋_GB2312" w:hAnsi="仿宋_GB2312" w:eastAsia="仿宋_GB2312" w:cs="仿宋_GB2312"/>
                <w:bCs/>
                <w:sz w:val="28"/>
                <w:szCs w:val="28"/>
              </w:rPr>
              <w:t>万元。全年共计支出</w:t>
            </w:r>
            <w:r>
              <w:rPr>
                <w:rFonts w:hint="eastAsia" w:ascii="仿宋_GB2312" w:hAnsi="仿宋_GB2312" w:eastAsia="仿宋_GB2312" w:cs="仿宋_GB2312"/>
                <w:bCs/>
                <w:sz w:val="28"/>
                <w:szCs w:val="28"/>
                <w:lang w:val="en-US" w:eastAsia="zh-CN"/>
              </w:rPr>
              <w:t>1837.07</w:t>
            </w:r>
            <w:r>
              <w:rPr>
                <w:rFonts w:hint="eastAsia" w:ascii="仿宋_GB2312" w:hAnsi="仿宋_GB2312" w:eastAsia="仿宋_GB2312" w:cs="仿宋_GB2312"/>
                <w:bCs/>
                <w:sz w:val="28"/>
                <w:szCs w:val="28"/>
              </w:rPr>
              <w:t>万元，其中基本支出</w:t>
            </w:r>
            <w:r>
              <w:rPr>
                <w:rFonts w:hint="eastAsia" w:ascii="仿宋_GB2312" w:hAnsi="仿宋_GB2312" w:eastAsia="仿宋_GB2312" w:cs="仿宋_GB2312"/>
                <w:bCs/>
                <w:sz w:val="28"/>
                <w:szCs w:val="28"/>
                <w:lang w:val="en-US" w:eastAsia="zh-CN"/>
              </w:rPr>
              <w:t>487.50</w:t>
            </w:r>
            <w:r>
              <w:rPr>
                <w:rFonts w:hint="eastAsia" w:ascii="仿宋_GB2312" w:hAnsi="仿宋_GB2312" w:eastAsia="仿宋_GB2312" w:cs="仿宋_GB2312"/>
                <w:bCs/>
                <w:sz w:val="28"/>
                <w:szCs w:val="28"/>
              </w:rPr>
              <w:t>万元（人员经费支出</w:t>
            </w:r>
            <w:r>
              <w:rPr>
                <w:rFonts w:hint="eastAsia" w:ascii="仿宋_GB2312" w:hAnsi="仿宋_GB2312" w:eastAsia="仿宋_GB2312" w:cs="仿宋_GB2312"/>
                <w:bCs/>
                <w:sz w:val="28"/>
                <w:szCs w:val="28"/>
                <w:lang w:val="en-US" w:eastAsia="zh-CN"/>
              </w:rPr>
              <w:t>381.93</w:t>
            </w:r>
            <w:r>
              <w:rPr>
                <w:rFonts w:hint="eastAsia" w:ascii="仿宋_GB2312" w:hAnsi="仿宋_GB2312" w:eastAsia="仿宋_GB2312" w:cs="仿宋_GB2312"/>
                <w:bCs/>
                <w:sz w:val="28"/>
                <w:szCs w:val="28"/>
              </w:rPr>
              <w:t>万元，公用支出</w:t>
            </w:r>
            <w:r>
              <w:rPr>
                <w:rFonts w:hint="eastAsia" w:ascii="仿宋_GB2312" w:hAnsi="仿宋_GB2312" w:eastAsia="仿宋_GB2312" w:cs="仿宋_GB2312"/>
                <w:bCs/>
                <w:sz w:val="28"/>
                <w:szCs w:val="28"/>
                <w:lang w:val="en-US" w:eastAsia="zh-CN"/>
              </w:rPr>
              <w:t>105.57</w:t>
            </w:r>
            <w:r>
              <w:rPr>
                <w:rFonts w:hint="eastAsia" w:ascii="仿宋_GB2312" w:hAnsi="仿宋_GB2312" w:eastAsia="仿宋_GB2312" w:cs="仿宋_GB2312"/>
                <w:bCs/>
                <w:sz w:val="28"/>
                <w:szCs w:val="28"/>
              </w:rPr>
              <w:t>万元）；项目支出</w:t>
            </w:r>
            <w:r>
              <w:rPr>
                <w:rFonts w:hint="eastAsia" w:ascii="仿宋_GB2312" w:hAnsi="仿宋_GB2312" w:eastAsia="仿宋_GB2312" w:cs="仿宋_GB2312"/>
                <w:bCs/>
                <w:sz w:val="28"/>
                <w:szCs w:val="28"/>
                <w:lang w:val="en-US" w:eastAsia="zh-CN"/>
              </w:rPr>
              <w:t>1349.57</w:t>
            </w:r>
            <w:r>
              <w:rPr>
                <w:rFonts w:hint="eastAsia" w:ascii="仿宋_GB2312" w:hAnsi="仿宋_GB2312" w:eastAsia="仿宋_GB2312" w:cs="仿宋_GB2312"/>
                <w:bCs/>
                <w:sz w:val="28"/>
                <w:szCs w:val="28"/>
              </w:rPr>
              <w:t>万元</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lang w:val="en-US" w:eastAsia="zh-CN"/>
              </w:rPr>
              <w:t>累计结余124.49万元</w:t>
            </w:r>
            <w:r>
              <w:rPr>
                <w:rFonts w:hint="eastAsia" w:ascii="仿宋_GB2312" w:hAnsi="仿宋_GB2312" w:eastAsia="仿宋_GB2312" w:cs="仿宋_GB2312"/>
                <w:bCs/>
                <w:sz w:val="28"/>
                <w:szCs w:val="28"/>
              </w:rPr>
              <w:t>。</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二、部门（单位）整体支出管理及使用情况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（一）基本支出</w:t>
            </w:r>
          </w:p>
          <w:p>
            <w:pPr>
              <w:spacing w:line="360" w:lineRule="auto"/>
              <w:ind w:firstLine="560" w:firstLineChars="200"/>
              <w:rPr>
                <w:rFonts w:hint="eastAsia" w:ascii="仿宋_GB2312" w:hAnsi="仿宋_GB2312" w:eastAsia="仿宋_GB2312" w:cs="仿宋_GB2312"/>
                <w:bCs/>
                <w:color w:val="auto"/>
                <w:sz w:val="28"/>
                <w:szCs w:val="28"/>
              </w:rPr>
            </w:pPr>
            <w:r>
              <w:rPr>
                <w:rFonts w:hint="eastAsia" w:ascii="仿宋_GB2312" w:hAnsi="仿宋_GB2312" w:eastAsia="仿宋_GB2312" w:cs="仿宋_GB2312"/>
                <w:bCs/>
                <w:sz w:val="28"/>
                <w:szCs w:val="28"/>
              </w:rPr>
              <w:t>基本支出用于为保障机构正常运转、完成日常工作任务而发生的支出，包括人员经费和公用经费。202</w:t>
            </w:r>
            <w:r>
              <w:rPr>
                <w:rFonts w:hint="eastAsia" w:ascii="仿宋_GB2312" w:hAnsi="仿宋_GB2312" w:eastAsia="仿宋_GB2312" w:cs="仿宋_GB2312"/>
                <w:bCs/>
                <w:sz w:val="28"/>
                <w:szCs w:val="28"/>
                <w:lang w:val="en-US" w:eastAsia="zh-CN"/>
              </w:rPr>
              <w:t>2</w:t>
            </w:r>
            <w:r>
              <w:rPr>
                <w:rFonts w:hint="eastAsia" w:ascii="仿宋_GB2312" w:hAnsi="仿宋_GB2312" w:eastAsia="仿宋_GB2312" w:cs="仿宋_GB2312"/>
                <w:bCs/>
                <w:sz w:val="28"/>
                <w:szCs w:val="28"/>
              </w:rPr>
              <w:t>年基本支出</w:t>
            </w:r>
            <w:r>
              <w:rPr>
                <w:rFonts w:hint="eastAsia" w:ascii="仿宋_GB2312" w:hAnsi="仿宋_GB2312" w:eastAsia="仿宋_GB2312" w:cs="仿宋_GB2312"/>
                <w:bCs/>
                <w:sz w:val="28"/>
                <w:szCs w:val="28"/>
                <w:lang w:val="en-US" w:eastAsia="zh-CN"/>
              </w:rPr>
              <w:t>487.50</w:t>
            </w:r>
            <w:r>
              <w:rPr>
                <w:rFonts w:hint="eastAsia" w:ascii="仿宋_GB2312" w:hAnsi="仿宋_GB2312" w:eastAsia="仿宋_GB2312" w:cs="仿宋_GB2312"/>
                <w:bCs/>
                <w:sz w:val="28"/>
                <w:szCs w:val="28"/>
              </w:rPr>
              <w:t>万</w:t>
            </w:r>
            <w:r>
              <w:rPr>
                <w:rFonts w:hint="eastAsia" w:ascii="仿宋_GB2312" w:hAnsi="仿宋_GB2312" w:eastAsia="仿宋_GB2312" w:cs="仿宋_GB2312"/>
                <w:bCs/>
                <w:color w:val="auto"/>
                <w:sz w:val="28"/>
                <w:szCs w:val="28"/>
              </w:rPr>
              <w:t>元，其中：工资福利支出</w:t>
            </w:r>
            <w:r>
              <w:rPr>
                <w:rFonts w:hint="eastAsia" w:ascii="仿宋_GB2312" w:hAnsi="仿宋_GB2312" w:eastAsia="仿宋_GB2312" w:cs="仿宋_GB2312"/>
                <w:bCs/>
                <w:color w:val="auto"/>
                <w:sz w:val="28"/>
                <w:szCs w:val="28"/>
                <w:lang w:val="en-US" w:eastAsia="zh-CN"/>
              </w:rPr>
              <w:t>345.21</w:t>
            </w:r>
            <w:r>
              <w:rPr>
                <w:rFonts w:hint="eastAsia" w:ascii="仿宋_GB2312" w:hAnsi="仿宋_GB2312" w:eastAsia="仿宋_GB2312" w:cs="仿宋_GB2312"/>
                <w:bCs/>
                <w:color w:val="auto"/>
                <w:sz w:val="28"/>
                <w:szCs w:val="28"/>
              </w:rPr>
              <w:t>万元，占基本支出的</w:t>
            </w:r>
            <w:r>
              <w:rPr>
                <w:rFonts w:hint="eastAsia" w:ascii="仿宋_GB2312" w:hAnsi="仿宋_GB2312" w:eastAsia="仿宋_GB2312" w:cs="仿宋_GB2312"/>
                <w:bCs/>
                <w:color w:val="auto"/>
                <w:sz w:val="28"/>
                <w:szCs w:val="28"/>
                <w:lang w:val="en-US" w:eastAsia="zh-CN"/>
              </w:rPr>
              <w:t>70.81</w:t>
            </w:r>
            <w:r>
              <w:rPr>
                <w:rFonts w:hint="eastAsia" w:ascii="仿宋_GB2312" w:hAnsi="仿宋_GB2312" w:eastAsia="仿宋_GB2312" w:cs="仿宋_GB2312"/>
                <w:bCs/>
                <w:color w:val="auto"/>
                <w:sz w:val="28"/>
                <w:szCs w:val="28"/>
              </w:rPr>
              <w:t>%；商品和服务支出</w:t>
            </w:r>
            <w:r>
              <w:rPr>
                <w:rFonts w:hint="eastAsia" w:ascii="仿宋_GB2312" w:hAnsi="仿宋_GB2312" w:eastAsia="仿宋_GB2312" w:cs="仿宋_GB2312"/>
                <w:bCs/>
                <w:color w:val="auto"/>
                <w:sz w:val="28"/>
                <w:szCs w:val="28"/>
                <w:lang w:val="en-US" w:eastAsia="zh-CN"/>
              </w:rPr>
              <w:t>105.57</w:t>
            </w:r>
            <w:r>
              <w:rPr>
                <w:rFonts w:hint="eastAsia" w:ascii="仿宋_GB2312" w:hAnsi="仿宋_GB2312" w:eastAsia="仿宋_GB2312" w:cs="仿宋_GB2312"/>
                <w:bCs/>
                <w:color w:val="auto"/>
                <w:sz w:val="28"/>
                <w:szCs w:val="28"/>
              </w:rPr>
              <w:t>万元，占基本支出的</w:t>
            </w:r>
            <w:r>
              <w:rPr>
                <w:rFonts w:hint="eastAsia" w:ascii="仿宋_GB2312" w:hAnsi="仿宋_GB2312" w:eastAsia="仿宋_GB2312" w:cs="仿宋_GB2312"/>
                <w:bCs/>
                <w:color w:val="auto"/>
                <w:sz w:val="28"/>
                <w:szCs w:val="28"/>
                <w:lang w:val="en-US" w:eastAsia="zh-CN"/>
              </w:rPr>
              <w:t>21.65</w:t>
            </w:r>
            <w:r>
              <w:rPr>
                <w:rFonts w:hint="eastAsia" w:ascii="仿宋_GB2312" w:hAnsi="仿宋_GB2312" w:eastAsia="仿宋_GB2312" w:cs="仿宋_GB2312"/>
                <w:bCs/>
                <w:color w:val="auto"/>
                <w:sz w:val="28"/>
                <w:szCs w:val="28"/>
              </w:rPr>
              <w:t>%；对个人和家庭的补助支出</w:t>
            </w:r>
            <w:r>
              <w:rPr>
                <w:rFonts w:hint="eastAsia" w:ascii="仿宋_GB2312" w:hAnsi="仿宋_GB2312" w:eastAsia="仿宋_GB2312" w:cs="仿宋_GB2312"/>
                <w:bCs/>
                <w:color w:val="auto"/>
                <w:sz w:val="28"/>
                <w:szCs w:val="28"/>
                <w:lang w:val="en-US" w:eastAsia="zh-CN"/>
              </w:rPr>
              <w:t>36.72</w:t>
            </w:r>
            <w:r>
              <w:rPr>
                <w:rFonts w:hint="eastAsia" w:ascii="仿宋_GB2312" w:hAnsi="仿宋_GB2312" w:eastAsia="仿宋_GB2312" w:cs="仿宋_GB2312"/>
                <w:bCs/>
                <w:color w:val="auto"/>
                <w:sz w:val="28"/>
                <w:szCs w:val="28"/>
              </w:rPr>
              <w:t>万元，占基本支出的</w:t>
            </w:r>
            <w:r>
              <w:rPr>
                <w:rFonts w:hint="eastAsia" w:ascii="仿宋_GB2312" w:hAnsi="仿宋_GB2312" w:eastAsia="仿宋_GB2312" w:cs="仿宋_GB2312"/>
                <w:bCs/>
                <w:color w:val="auto"/>
                <w:sz w:val="28"/>
                <w:szCs w:val="28"/>
                <w:lang w:val="en-US" w:eastAsia="zh-CN"/>
              </w:rPr>
              <w:t>7.53</w:t>
            </w:r>
            <w:r>
              <w:rPr>
                <w:rFonts w:hint="eastAsia" w:ascii="仿宋_GB2312" w:hAnsi="仿宋_GB2312" w:eastAsia="仿宋_GB2312" w:cs="仿宋_GB2312"/>
                <w:bCs/>
                <w:color w:val="auto"/>
                <w:sz w:val="28"/>
                <w:szCs w:val="28"/>
              </w:rPr>
              <w:t>%。</w:t>
            </w:r>
          </w:p>
          <w:p>
            <w:pPr>
              <w:spacing w:line="360" w:lineRule="auto"/>
              <w:ind w:firstLine="560" w:firstLineChars="200"/>
              <w:rPr>
                <w:rFonts w:hint="eastAsia" w:eastAsia="仿宋_GB2312"/>
                <w:lang w:eastAsia="zh-CN"/>
              </w:rPr>
            </w:pPr>
            <w:r>
              <w:rPr>
                <w:rFonts w:hint="eastAsia" w:ascii="仿宋_GB2312" w:hAnsi="仿宋_GB2312" w:eastAsia="仿宋_GB2312" w:cs="仿宋_GB2312"/>
                <w:bCs/>
                <w:color w:val="auto"/>
                <w:sz w:val="28"/>
                <w:szCs w:val="28"/>
              </w:rPr>
              <w:t>202</w:t>
            </w:r>
            <w:r>
              <w:rPr>
                <w:rFonts w:hint="eastAsia" w:ascii="仿宋_GB2312" w:hAnsi="仿宋_GB2312" w:eastAsia="仿宋_GB2312" w:cs="仿宋_GB2312"/>
                <w:bCs/>
                <w:color w:val="auto"/>
                <w:sz w:val="28"/>
                <w:szCs w:val="28"/>
                <w:lang w:val="en-US" w:eastAsia="zh-CN"/>
              </w:rPr>
              <w:t>2</w:t>
            </w:r>
            <w:r>
              <w:rPr>
                <w:rFonts w:hint="eastAsia" w:ascii="仿宋_GB2312" w:hAnsi="仿宋_GB2312" w:eastAsia="仿宋_GB2312" w:cs="仿宋_GB2312"/>
                <w:bCs/>
                <w:color w:val="auto"/>
                <w:sz w:val="28"/>
                <w:szCs w:val="28"/>
              </w:rPr>
              <w:t>年三公经费支出</w:t>
            </w:r>
            <w:r>
              <w:rPr>
                <w:rFonts w:hint="eastAsia" w:ascii="仿宋_GB2312" w:hAnsi="仿宋_GB2312" w:eastAsia="仿宋_GB2312" w:cs="仿宋_GB2312"/>
                <w:bCs/>
                <w:color w:val="auto"/>
                <w:sz w:val="28"/>
                <w:szCs w:val="28"/>
                <w:lang w:val="en-US" w:eastAsia="zh-CN"/>
              </w:rPr>
              <w:t>6.13</w:t>
            </w:r>
            <w:r>
              <w:rPr>
                <w:rFonts w:hint="eastAsia" w:ascii="仿宋_GB2312" w:hAnsi="仿宋_GB2312" w:eastAsia="仿宋_GB2312" w:cs="仿宋_GB2312"/>
                <w:bCs/>
                <w:color w:val="auto"/>
                <w:sz w:val="28"/>
                <w:szCs w:val="28"/>
              </w:rPr>
              <w:t>万元，其中因公出国（境）费0万元，公务车购置及运行维护费0万元，公务接待费</w:t>
            </w:r>
            <w:r>
              <w:rPr>
                <w:rFonts w:hint="eastAsia" w:ascii="仿宋_GB2312" w:hAnsi="仿宋_GB2312" w:eastAsia="仿宋_GB2312" w:cs="仿宋_GB2312"/>
                <w:bCs/>
                <w:color w:val="auto"/>
                <w:sz w:val="28"/>
                <w:szCs w:val="28"/>
                <w:lang w:val="en-US" w:eastAsia="zh-CN"/>
              </w:rPr>
              <w:t>6.13</w:t>
            </w:r>
            <w:r>
              <w:rPr>
                <w:rFonts w:hint="eastAsia" w:ascii="仿宋_GB2312" w:hAnsi="仿宋_GB2312" w:eastAsia="仿宋_GB2312" w:cs="仿宋_GB2312"/>
                <w:bCs/>
                <w:color w:val="auto"/>
                <w:sz w:val="28"/>
                <w:szCs w:val="28"/>
              </w:rPr>
              <w:t>万元，使用当年财政拨款支出</w:t>
            </w:r>
            <w:r>
              <w:rPr>
                <w:rFonts w:hint="eastAsia" w:ascii="仿宋_GB2312" w:hAnsi="仿宋_GB2312" w:eastAsia="仿宋_GB2312" w:cs="仿宋_GB2312"/>
                <w:bCs/>
                <w:color w:val="auto"/>
                <w:sz w:val="28"/>
                <w:szCs w:val="28"/>
                <w:lang w:val="en-US" w:eastAsia="zh-CN"/>
              </w:rPr>
              <w:t>6.13</w:t>
            </w:r>
            <w:r>
              <w:rPr>
                <w:rFonts w:hint="eastAsia" w:ascii="仿宋_GB2312" w:hAnsi="仿宋_GB2312" w:eastAsia="仿宋_GB2312" w:cs="仿宋_GB2312"/>
                <w:bCs/>
                <w:color w:val="auto"/>
                <w:sz w:val="28"/>
                <w:szCs w:val="28"/>
              </w:rPr>
              <w:t>万元</w:t>
            </w:r>
            <w:r>
              <w:rPr>
                <w:rFonts w:hint="eastAsia" w:ascii="仿宋_GB2312" w:hAnsi="仿宋_GB2312" w:eastAsia="仿宋_GB2312" w:cs="仿宋_GB2312"/>
                <w:bCs/>
                <w:color w:val="auto"/>
                <w:sz w:val="28"/>
                <w:szCs w:val="28"/>
                <w:lang w:eastAsia="zh-CN"/>
              </w:rPr>
              <w:t>。</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（二）专项支出</w:t>
            </w:r>
          </w:p>
          <w:p>
            <w:pPr>
              <w:numPr>
                <w:ilvl w:val="0"/>
                <w:numId w:val="0"/>
              </w:numPr>
              <w:spacing w:line="560" w:lineRule="exact"/>
              <w:ind w:left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1、专项资金安排落实、总投入等情况分析：年初专项资金预算为</w:t>
            </w:r>
            <w:r>
              <w:rPr>
                <w:rFonts w:hint="eastAsia" w:ascii="仿宋_GB2312" w:hAnsi="仿宋_GB2312" w:eastAsia="仿宋_GB2312" w:cs="仿宋_GB2312"/>
                <w:bCs/>
                <w:sz w:val="28"/>
                <w:szCs w:val="28"/>
                <w:lang w:val="en-US" w:eastAsia="zh-CN"/>
              </w:rPr>
              <w:t>1349.57</w:t>
            </w:r>
            <w:r>
              <w:rPr>
                <w:rFonts w:hint="eastAsia" w:ascii="仿宋_GB2312" w:hAnsi="仿宋_GB2312" w:eastAsia="仿宋_GB2312" w:cs="仿宋_GB2312"/>
                <w:bCs/>
                <w:sz w:val="28"/>
                <w:szCs w:val="28"/>
              </w:rPr>
              <w:t>万元，本年专项资金收入</w:t>
            </w:r>
            <w:r>
              <w:rPr>
                <w:rFonts w:hint="eastAsia" w:ascii="仿宋_GB2312" w:hAnsi="仿宋_GB2312" w:eastAsia="仿宋_GB2312" w:cs="仿宋_GB2312"/>
                <w:bCs/>
                <w:sz w:val="28"/>
                <w:szCs w:val="28"/>
                <w:lang w:val="en-US" w:eastAsia="zh-CN"/>
              </w:rPr>
              <w:t>1349.57</w:t>
            </w:r>
            <w:r>
              <w:rPr>
                <w:rFonts w:hint="eastAsia" w:ascii="仿宋_GB2312" w:hAnsi="仿宋_GB2312" w:eastAsia="仿宋_GB2312" w:cs="仿宋_GB2312"/>
                <w:bCs/>
                <w:sz w:val="28"/>
                <w:szCs w:val="28"/>
              </w:rPr>
              <w:t>万元。</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2、专项资金实际使用情况分析：本年专项资金共计支出</w:t>
            </w:r>
            <w:r>
              <w:rPr>
                <w:rFonts w:hint="eastAsia" w:ascii="仿宋_GB2312" w:hAnsi="仿宋_GB2312" w:eastAsia="仿宋_GB2312" w:cs="仿宋_GB2312"/>
                <w:bCs/>
                <w:sz w:val="28"/>
                <w:szCs w:val="28"/>
                <w:lang w:val="en-US" w:eastAsia="zh-CN"/>
              </w:rPr>
              <w:t>1349.57</w:t>
            </w:r>
            <w:r>
              <w:rPr>
                <w:rFonts w:hint="eastAsia" w:ascii="仿宋_GB2312" w:hAnsi="仿宋_GB2312" w:eastAsia="仿宋_GB2312" w:cs="仿宋_GB2312"/>
                <w:bCs/>
                <w:sz w:val="28"/>
                <w:szCs w:val="28"/>
              </w:rPr>
              <w:t>万元。</w:t>
            </w:r>
          </w:p>
          <w:p>
            <w:pPr>
              <w:spacing w:line="560" w:lineRule="exact"/>
              <w:ind w:firstLine="560" w:firstLineChars="200"/>
            </w:pPr>
            <w:r>
              <w:rPr>
                <w:rFonts w:hint="eastAsia" w:ascii="仿宋_GB2312" w:hAnsi="仿宋_GB2312" w:eastAsia="仿宋_GB2312" w:cs="仿宋_GB2312"/>
                <w:bCs/>
                <w:sz w:val="28"/>
                <w:szCs w:val="28"/>
              </w:rPr>
              <w:t>3、专项资金管理情况分析：评价小组对项目资金情况进行了现场评价，评价表明：一是资金支付依据合法合规，资金审批程序严格；二是项目资金做到专款专用。</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三、部门（单位）专项组织实施情况</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（一）专项组织情况分析</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区文化旅游广电体育局严格遵循把财政资金使用好，管理好的宗旨，基本做到了专款专用，严格资金审批程序，确保了项目质量，及财政资金的安全。</w:t>
            </w:r>
          </w:p>
          <w:p>
            <w:pPr>
              <w:spacing w:line="560" w:lineRule="exact"/>
              <w:ind w:firstLine="560" w:firstLineChars="200"/>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rPr>
              <w:t>（二）专项管理情况分析</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为保证各专项资金目标顺利完成，单位各部门协调配合，积极支持，资金的使用有待进一步合理，严谨。</w:t>
            </w: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四、部门（单位）整体支出绩效情况</w:t>
            </w:r>
          </w:p>
          <w:p>
            <w:pPr>
              <w:spacing w:line="560" w:lineRule="exact"/>
              <w:ind w:firstLine="562" w:firstLineChars="200"/>
              <w:rPr>
                <w:rFonts w:hint="eastAsia" w:ascii="仿宋_GB2312" w:hAnsi="仿宋_GB2312" w:eastAsia="仿宋_GB2312" w:cs="仿宋_GB2312"/>
                <w:bCs/>
                <w:sz w:val="28"/>
                <w:szCs w:val="28"/>
                <w:lang w:val="en-US" w:eastAsia="zh-CN"/>
              </w:rPr>
            </w:pPr>
            <w:r>
              <w:rPr>
                <w:rFonts w:hint="eastAsia" w:ascii="楷体_GB2312" w:hAnsi="楷体_GB2312" w:eastAsia="楷体_GB2312" w:cs="楷体_GB2312"/>
                <w:b/>
                <w:bCs/>
                <w:sz w:val="28"/>
                <w:szCs w:val="28"/>
                <w:lang w:val="en-US" w:eastAsia="zh-CN"/>
              </w:rPr>
              <w:t xml:space="preserve"> </w:t>
            </w:r>
            <w:r>
              <w:rPr>
                <w:rFonts w:hint="eastAsia" w:ascii="仿宋_GB2312" w:hAnsi="仿宋_GB2312" w:eastAsia="仿宋_GB2312" w:cs="仿宋_GB2312"/>
                <w:bCs/>
                <w:sz w:val="28"/>
                <w:szCs w:val="28"/>
              </w:rPr>
              <w:t>202</w:t>
            </w:r>
            <w:r>
              <w:rPr>
                <w:rFonts w:hint="eastAsia" w:ascii="仿宋_GB2312" w:hAnsi="仿宋_GB2312" w:eastAsia="仿宋_GB2312" w:cs="仿宋_GB2312"/>
                <w:bCs/>
                <w:sz w:val="28"/>
                <w:szCs w:val="28"/>
                <w:lang w:val="en-US" w:eastAsia="zh-CN"/>
              </w:rPr>
              <w:t>2是充满机遇同时极具挑战的一年</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我</w:t>
            </w:r>
            <w:r>
              <w:rPr>
                <w:rFonts w:hint="eastAsia" w:ascii="仿宋_GB2312" w:hAnsi="仿宋_GB2312" w:eastAsia="仿宋_GB2312" w:cs="仿宋_GB2312"/>
                <w:bCs/>
                <w:sz w:val="28"/>
                <w:szCs w:val="28"/>
              </w:rPr>
              <w:t>局在</w:t>
            </w:r>
            <w:r>
              <w:rPr>
                <w:rFonts w:hint="eastAsia" w:ascii="仿宋_GB2312" w:hAnsi="仿宋_GB2312" w:eastAsia="仿宋_GB2312" w:cs="仿宋_GB2312"/>
                <w:bCs/>
                <w:sz w:val="28"/>
                <w:szCs w:val="28"/>
                <w:lang w:val="en-US" w:eastAsia="zh-CN"/>
              </w:rPr>
              <w:t>市文旅广电局</w:t>
            </w:r>
            <w:r>
              <w:rPr>
                <w:rFonts w:hint="eastAsia" w:ascii="仿宋_GB2312" w:hAnsi="仿宋_GB2312" w:eastAsia="仿宋_GB2312" w:cs="仿宋_GB2312"/>
                <w:bCs/>
                <w:sz w:val="28"/>
                <w:szCs w:val="28"/>
              </w:rPr>
              <w:t>的坚强领导下，大力发展文化旅游体育事业，深入挖掘历史文化遗产，优化</w:t>
            </w:r>
            <w:r>
              <w:rPr>
                <w:rFonts w:hint="eastAsia" w:ascii="仿宋_GB2312" w:hAnsi="仿宋_GB2312" w:eastAsia="仿宋_GB2312" w:cs="仿宋_GB2312"/>
                <w:bCs/>
                <w:sz w:val="28"/>
                <w:szCs w:val="28"/>
                <w:lang w:val="en-US" w:eastAsia="zh-CN"/>
              </w:rPr>
              <w:t>全区</w:t>
            </w:r>
            <w:r>
              <w:rPr>
                <w:rFonts w:hint="eastAsia" w:ascii="仿宋_GB2312" w:hAnsi="仿宋_GB2312" w:eastAsia="仿宋_GB2312" w:cs="仿宋_GB2312"/>
                <w:bCs/>
                <w:sz w:val="28"/>
                <w:szCs w:val="28"/>
              </w:rPr>
              <w:t>文化</w:t>
            </w:r>
            <w:r>
              <w:rPr>
                <w:rFonts w:hint="eastAsia" w:ascii="仿宋_GB2312" w:hAnsi="仿宋_GB2312" w:eastAsia="仿宋_GB2312" w:cs="仿宋_GB2312"/>
                <w:bCs/>
                <w:sz w:val="28"/>
                <w:szCs w:val="28"/>
                <w:lang w:val="en-US" w:eastAsia="zh-CN"/>
              </w:rPr>
              <w:t>市场</w:t>
            </w:r>
            <w:r>
              <w:rPr>
                <w:rFonts w:hint="eastAsia" w:ascii="仿宋_GB2312" w:hAnsi="仿宋_GB2312" w:eastAsia="仿宋_GB2312" w:cs="仿宋_GB2312"/>
                <w:bCs/>
                <w:sz w:val="28"/>
                <w:szCs w:val="28"/>
              </w:rPr>
              <w:t>环境，扎实推进</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lang w:val="en-US" w:eastAsia="zh-CN"/>
              </w:rPr>
              <w:t>农文旅体</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lang w:val="en-US" w:eastAsia="zh-CN"/>
              </w:rPr>
              <w:t>融合发展战略，各</w:t>
            </w:r>
            <w:r>
              <w:rPr>
                <w:rFonts w:hint="eastAsia" w:ascii="仿宋_GB2312" w:hAnsi="仿宋_GB2312" w:eastAsia="仿宋_GB2312" w:cs="仿宋_GB2312"/>
                <w:bCs/>
                <w:sz w:val="28"/>
                <w:szCs w:val="28"/>
              </w:rPr>
              <w:t>方面</w:t>
            </w:r>
            <w:r>
              <w:rPr>
                <w:rFonts w:hint="eastAsia" w:ascii="仿宋_GB2312" w:hAnsi="仿宋_GB2312" w:eastAsia="仿宋_GB2312" w:cs="仿宋_GB2312"/>
                <w:bCs/>
                <w:sz w:val="28"/>
                <w:szCs w:val="28"/>
                <w:lang w:val="en-US" w:eastAsia="zh-CN"/>
              </w:rPr>
              <w:t>工作</w:t>
            </w:r>
            <w:r>
              <w:rPr>
                <w:rFonts w:hint="eastAsia" w:ascii="仿宋_GB2312" w:hAnsi="仿宋_GB2312" w:eastAsia="仿宋_GB2312" w:cs="仿宋_GB2312"/>
                <w:bCs/>
                <w:sz w:val="28"/>
                <w:szCs w:val="28"/>
              </w:rPr>
              <w:t>取得</w:t>
            </w:r>
            <w:r>
              <w:rPr>
                <w:rFonts w:hint="eastAsia" w:ascii="仿宋_GB2312" w:hAnsi="仿宋_GB2312" w:eastAsia="仿宋_GB2312" w:cs="仿宋_GB2312"/>
                <w:bCs/>
                <w:sz w:val="28"/>
                <w:szCs w:val="28"/>
                <w:lang w:val="en-US" w:eastAsia="zh-CN"/>
              </w:rPr>
              <w:t>显著成效。</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根据考核评分细则，本单位严格按照国家的相关财务管理制度规定，财务制度健全，会计核算规范，依照计划管理使用，整体支出对保障政府办工作的正常运行、为全区发展大局服务发挥了重要保障作用。按照部门整体支出绩效评价指标体系对照打分得出结果为98分。</w:t>
            </w:r>
          </w:p>
          <w:p>
            <w:pPr>
              <w:pStyle w:val="7"/>
              <w:rPr>
                <w:rFonts w:hint="eastAsia" w:ascii="仿宋_GB2312" w:hAnsi="仿宋_GB2312" w:eastAsia="仿宋_GB2312" w:cs="仿宋_GB2312"/>
                <w:sz w:val="32"/>
                <w:szCs w:val="32"/>
                <w:lang w:val="en-US" w:eastAsia="zh-CN"/>
              </w:rPr>
            </w:pPr>
          </w:p>
          <w:p>
            <w:pPr>
              <w:numPr>
                <w:ilvl w:val="0"/>
                <w:numId w:val="3"/>
              </w:num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存在的主要问题</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一是预算编制有待进一步加强，确保预算执行力度。预算编制与实际项目存在差异。</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二是在资金管理过程中，还存在</w:t>
            </w:r>
            <w:r>
              <w:rPr>
                <w:rFonts w:hint="eastAsia" w:ascii="仿宋_GB2312" w:hAnsi="仿宋_GB2312" w:eastAsia="仿宋_GB2312" w:cs="仿宋_GB2312"/>
                <w:bCs/>
                <w:sz w:val="28"/>
                <w:szCs w:val="28"/>
                <w:lang w:val="en-US" w:eastAsia="zh-CN"/>
              </w:rPr>
              <w:t>项目资金预算不足，特别是专项地方配套资金短缺</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项目绩效难以全部完成。</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六、改进措施和有关建议</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一是加强学习。建议</w:t>
            </w:r>
            <w:r>
              <w:rPr>
                <w:rFonts w:hint="eastAsia" w:ascii="仿宋_GB2312" w:hAnsi="仿宋_GB2312" w:eastAsia="仿宋_GB2312" w:cs="仿宋_GB2312"/>
                <w:bCs/>
                <w:sz w:val="28"/>
                <w:szCs w:val="28"/>
                <w:lang w:val="en-US" w:eastAsia="zh-CN"/>
              </w:rPr>
              <w:t>编制预算时全员参与，特别是项目支出预算需要项目专员及主管负责人共同参与，做好全面预算工作，同时加强</w:t>
            </w:r>
            <w:r>
              <w:rPr>
                <w:rFonts w:hint="eastAsia" w:ascii="仿宋_GB2312" w:hAnsi="仿宋_GB2312" w:eastAsia="仿宋_GB2312" w:cs="仿宋_GB2312"/>
                <w:bCs/>
                <w:sz w:val="28"/>
                <w:szCs w:val="28"/>
              </w:rPr>
              <w:t>绩效工作培训。</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二是加强财务管理，严把支出审核关。严格执行财政管理制度，规范各项支出审核，在预算金额内严格控制费用支出，促进财务管理的法制化，科学化、合理化运行。</w:t>
            </w:r>
          </w:p>
          <w:p>
            <w:pPr>
              <w:rPr>
                <w:rFonts w:eastAsia="楷体_GB2312"/>
                <w:bCs/>
                <w:sz w:val="28"/>
                <w:szCs w:val="28"/>
              </w:rPr>
            </w:pPr>
          </w:p>
        </w:tc>
      </w:tr>
    </w:tbl>
    <w:p/>
    <w:p>
      <w:pPr>
        <w:pStyle w:val="7"/>
      </w:pPr>
    </w:p>
    <w:p>
      <w:pPr>
        <w:pStyle w:val="7"/>
      </w:pPr>
    </w:p>
    <w:p>
      <w:pPr>
        <w:rPr>
          <w:rFonts w:ascii="黑体" w:hAnsi="黑体" w:eastAsia="黑体"/>
          <w:sz w:val="32"/>
          <w:szCs w:val="32"/>
        </w:rPr>
      </w:pPr>
      <w:r>
        <w:rPr>
          <w:rFonts w:hint="eastAsia" w:ascii="黑体" w:hAnsi="黑体" w:eastAsia="黑体"/>
          <w:sz w:val="32"/>
          <w:szCs w:val="32"/>
        </w:rPr>
        <w:t>附件4-1</w:t>
      </w:r>
    </w:p>
    <w:p>
      <w:pPr>
        <w:spacing w:before="312" w:beforeLines="100" w:after="312" w:afterLines="100"/>
        <w:jc w:val="center"/>
        <w:rPr>
          <w:rFonts w:ascii="方正小标宋简体" w:eastAsia="方正小标宋简体"/>
          <w:sz w:val="36"/>
          <w:szCs w:val="36"/>
        </w:rPr>
      </w:pPr>
      <w:r>
        <w:rPr>
          <w:rFonts w:hint="eastAsia" w:ascii="方正小标宋简体" w:eastAsia="方正小标宋简体"/>
          <w:sz w:val="36"/>
          <w:szCs w:val="36"/>
        </w:rPr>
        <w:t>部门整体支出绩效评价评分表</w:t>
      </w:r>
    </w:p>
    <w:tbl>
      <w:tblPr>
        <w:tblStyle w:val="5"/>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投  入</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939"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“三公经费”＞0，每超过一个百分点扣0.5分，扣完为止。</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（40分）</w:t>
            </w:r>
          </w:p>
        </w:tc>
        <w:tc>
          <w:tcPr>
            <w:tcW w:w="939"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春节前下达全部专项资金的50%；6月底前所有专项资金指标全部下达完。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每出现一个专项未按进度完成资金下达扣0.5分，扣完为止。</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每超过一个百分点扣1分，扣完为止。</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6</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③相关管理制度得到有效执行，1分。</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hint="eastAsia"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hint="eastAsia"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以上情况每出现一例不符合要求的扣1分，扣完为止。</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⑤基础数据信息和汇集信息资料准确，0.5分。                                            </w:t>
            </w: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政府采购</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政府采购执行率等于100%的，得3分；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每减少一个百分点，扣0.2分，扣完为止。</w:t>
            </w: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公务卡刷卡率达50％以上的，得3分。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每减少一个百分点，扣0.2分，扣完为止。                                            </w:t>
            </w: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刷卡率低</w:t>
            </w:r>
          </w:p>
        </w:tc>
      </w:tr>
      <w:tr>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②相关资产管理制度得到有效执行，1分。                                           </w:t>
            </w: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bl>
    <w:p/>
    <w:tbl>
      <w:tblPr>
        <w:tblStyle w:val="5"/>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③资产处置规范； </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774"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此项指标根据《中共岳阳市委 岳阳市人民政府 关于做好岳阳市加快推进湖南发展新增长极建设2015年度综合绩效考评工作的通知》（岳发〔2015〕11号）和《中共岳阳市委 岳阳市人民政府 关于做好2015年度综合绩效考评工作的补充通知》（岳发〔2015〕19号）附件2第一大项“工作实绩指标”（700分）考核内容设置。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部门单位应根据部门实际进行调整，并将其细化成相应的个性化指标。</w:t>
            </w: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建设湖南新增极目标任务完成情况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7</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省市重点民生实事完成情况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省市重点工程和重大项目建设完成情况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  果</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此三项指标为设置部门整体支出绩效评价指标时必须考虑的共性要素。</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部门单位应根据部门实际并结合部门整体支出绩效目标设立情况有选择的进行设置，并将其细化为相应的个性化指标。</w:t>
            </w:r>
          </w:p>
        </w:tc>
        <w:tc>
          <w:tcPr>
            <w:tcW w:w="619"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没有经济效益指标</w:t>
            </w: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85%（含）-95%，计3分；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75%（含）-85%，计1分；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lang w:val="en-US" w:eastAsia="zh-CN"/>
              </w:rPr>
              <w:t>98</w:t>
            </w: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18"/>
                <w:szCs w:val="18"/>
              </w:rPr>
            </w:pPr>
          </w:p>
        </w:tc>
      </w:tr>
    </w:tbl>
    <w:p>
      <w:pPr>
        <w:spacing w:before="156" w:beforeLines="50"/>
        <w:rPr>
          <w:rFonts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备注：如部门（单位）根据本部门实际情况修改调整了附件3《部门整体支出绩效评价指标体系（参考样表）》，须相应修改调整本表中的对应部分。</w:t>
      </w:r>
    </w:p>
    <w:p>
      <w:pPr>
        <w:pStyle w:val="7"/>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448" w:wrap="around" w:vAnchor="text" w:hAnchor="margin" w:xAlign="outside" w:y="7"/>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8"/>
                            </w:rPr>
                          </w:pPr>
                          <w:r>
                            <w:rPr>
                              <w:rStyle w:val="8"/>
                              <w:rFonts w:hint="eastAsia"/>
                            </w:rPr>
                            <w:t xml:space="preserve">— </w:t>
                          </w:r>
                          <w:r>
                            <w:fldChar w:fldCharType="begin"/>
                          </w:r>
                          <w:r>
                            <w:rPr>
                              <w:rStyle w:val="8"/>
                            </w:rPr>
                            <w:instrText xml:space="preserve">PAGE  </w:instrText>
                          </w:r>
                          <w:r>
                            <w:fldChar w:fldCharType="separate"/>
                          </w:r>
                          <w:r>
                            <w:rPr>
                              <w:rStyle w:val="8"/>
                            </w:rPr>
                            <w:t>4</w:t>
                          </w:r>
                          <w:r>
                            <w:fldChar w:fldCharType="end"/>
                          </w:r>
                          <w:r>
                            <w:rPr>
                              <w:rStyle w:val="8"/>
                              <w:rFonts w:hint="eastAsia"/>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4"/>
                      <w:rPr>
                        <w:rStyle w:val="8"/>
                      </w:rPr>
                    </w:pPr>
                    <w:r>
                      <w:rPr>
                        <w:rStyle w:val="8"/>
                        <w:rFonts w:hint="eastAsia"/>
                      </w:rPr>
                      <w:t xml:space="preserve">— </w:t>
                    </w:r>
                    <w:r>
                      <w:fldChar w:fldCharType="begin"/>
                    </w:r>
                    <w:r>
                      <w:rPr>
                        <w:rStyle w:val="8"/>
                      </w:rPr>
                      <w:instrText xml:space="preserve">PAGE  </w:instrText>
                    </w:r>
                    <w:r>
                      <w:fldChar w:fldCharType="separate"/>
                    </w:r>
                    <w:r>
                      <w:rPr>
                        <w:rStyle w:val="8"/>
                      </w:rPr>
                      <w:t>4</w:t>
                    </w:r>
                    <w:r>
                      <w:fldChar w:fldCharType="end"/>
                    </w:r>
                    <w:r>
                      <w:rPr>
                        <w:rStyle w:val="8"/>
                        <w:rFonts w:hint="eastAsia"/>
                      </w:rPr>
                      <w:t xml:space="preserve"> —</w:t>
                    </w:r>
                  </w:p>
                </w:txbxContent>
              </v:textbox>
            </v:shape>
          </w:pict>
        </mc:Fallback>
      </mc:AlternateContent>
    </w:r>
  </w:p>
  <w:p>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pPr>
    <w:r>
      <w:fldChar w:fldCharType="begin"/>
    </w:r>
    <w:r>
      <w:instrText xml:space="preserve">PAGE  </w:instrText>
    </w:r>
    <w:r>
      <w:fldChar w:fldCharType="separate"/>
    </w:r>
    <w:r>
      <w:t>- 15 -</w:t>
    </w:r>
    <w:r>
      <w:fldChar w:fldCharType="end"/>
    </w:r>
  </w:p>
  <w:p>
    <w:pPr>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99727D"/>
    <w:multiLevelType w:val="singleLevel"/>
    <w:tmpl w:val="AF99727D"/>
    <w:lvl w:ilvl="0" w:tentative="0">
      <w:start w:val="2"/>
      <w:numFmt w:val="chineseCounting"/>
      <w:suff w:val="nothing"/>
      <w:lvlText w:val="（%1）"/>
      <w:lvlJc w:val="left"/>
      <w:rPr>
        <w:rFonts w:hint="eastAsia"/>
      </w:rPr>
    </w:lvl>
  </w:abstractNum>
  <w:abstractNum w:abstractNumId="1">
    <w:nsid w:val="1D261732"/>
    <w:multiLevelType w:val="singleLevel"/>
    <w:tmpl w:val="1D261732"/>
    <w:lvl w:ilvl="0" w:tentative="0">
      <w:start w:val="1"/>
      <w:numFmt w:val="chineseCounting"/>
      <w:suff w:val="nothing"/>
      <w:lvlText w:val="%1、"/>
      <w:lvlJc w:val="left"/>
      <w:rPr>
        <w:rFonts w:hint="eastAsia"/>
      </w:rPr>
    </w:lvl>
  </w:abstractNum>
  <w:abstractNum w:abstractNumId="2">
    <w:nsid w:val="3C73E733"/>
    <w:multiLevelType w:val="singleLevel"/>
    <w:tmpl w:val="3C73E733"/>
    <w:lvl w:ilvl="0" w:tentative="0">
      <w:start w:val="5"/>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mYmEyNzdhMDVkMDUxZGYyYjVkMmY4NzI2YjRmMzkifQ=="/>
  </w:docVars>
  <w:rsids>
    <w:rsidRoot w:val="30D06FB1"/>
    <w:rsid w:val="00292BAB"/>
    <w:rsid w:val="106B74D3"/>
    <w:rsid w:val="24A906B9"/>
    <w:rsid w:val="2DAE631A"/>
    <w:rsid w:val="30D06FB1"/>
    <w:rsid w:val="323C4669"/>
    <w:rsid w:val="39B76FDC"/>
    <w:rsid w:val="3F59392C"/>
    <w:rsid w:val="562B16F4"/>
    <w:rsid w:val="5FC270F3"/>
    <w:rsid w:val="69931944"/>
    <w:rsid w:val="78E56724"/>
    <w:rsid w:val="7C405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left="0" w:firstLine="420" w:firstLineChars="200"/>
    </w:pPr>
    <w:rPr>
      <w:rFonts w:ascii="Calibri" w:hAnsi="Calibri"/>
    </w:rPr>
  </w:style>
  <w:style w:type="paragraph" w:styleId="3">
    <w:name w:val="Body Text Indent"/>
    <w:basedOn w:val="1"/>
    <w:qFormat/>
    <w:uiPriority w:val="0"/>
    <w:pPr>
      <w:spacing w:after="120"/>
      <w:ind w:left="420" w:leftChars="200"/>
    </w:pPr>
    <w:rPr>
      <w:rFonts w:eastAsia="宋体" w:cs="Times New Roman"/>
    </w:rPr>
  </w:style>
  <w:style w:type="paragraph" w:styleId="4">
    <w:name w:val="footer"/>
    <w:basedOn w:val="1"/>
    <w:qFormat/>
    <w:uiPriority w:val="0"/>
    <w:pPr>
      <w:tabs>
        <w:tab w:val="center" w:pos="4153"/>
        <w:tab w:val="right" w:pos="8306"/>
      </w:tabs>
      <w:snapToGrid w:val="0"/>
      <w:jc w:val="left"/>
    </w:pPr>
    <w:rPr>
      <w:kern w:val="0"/>
      <w:sz w:val="18"/>
      <w:szCs w:val="18"/>
    </w:rPr>
  </w:style>
  <w:style w:type="paragraph" w:customStyle="1" w:styleId="7">
    <w:name w:val="FootnoteText"/>
    <w:basedOn w:val="1"/>
    <w:qFormat/>
    <w:uiPriority w:val="0"/>
    <w:pPr>
      <w:snapToGrid w:val="0"/>
      <w:jc w:val="left"/>
      <w:textAlignment w:val="baseline"/>
    </w:pPr>
    <w:rPr>
      <w:rFonts w:ascii="Calibri" w:hAnsi="Calibri"/>
      <w:kern w:val="2"/>
      <w:sz w:val="18"/>
      <w:szCs w:val="18"/>
      <w:lang w:val="en-US" w:eastAsia="zh-CN" w:bidi="ar-SA"/>
    </w:rPr>
  </w:style>
  <w:style w:type="character" w:customStyle="1" w:styleId="8">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5911</Words>
  <Characters>6402</Characters>
  <Lines>0</Lines>
  <Paragraphs>0</Paragraphs>
  <TotalTime>8</TotalTime>
  <ScaleCrop>false</ScaleCrop>
  <LinksUpToDate>false</LinksUpToDate>
  <CharactersWithSpaces>6893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2023-06-28T07:00:00Z</dcterms:created>
  <dc:creator>Administrator</dc:creator>
  <cp:lastModifiedBy>瑜妈</cp:lastModifiedBy>
  <dcterms:modified xsi:type="dcterms:W3CDTF">2023-08-28T07:02:54Z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9E7770FE595F4DA7BF5CA86E4870459A_13</vt:lpwstr>
  </property>
</Properties>
</file>