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Lines="0" w:line="360" w:lineRule="auto"/>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val="0"/>
          <w:spacing w:val="0"/>
          <w:sz w:val="32"/>
          <w:szCs w:val="32"/>
          <w:highlight w:val="none"/>
          <w:lang w:val="en-US" w:eastAsia="zh-CN"/>
        </w:rPr>
        <w:t xml:space="preserve"> </w:t>
      </w:r>
      <w:r>
        <w:rPr>
          <w:rFonts w:hint="eastAsia" w:ascii="仿宋_GB2312" w:hAnsi="仿宋_GB2312" w:eastAsia="仿宋_GB2312" w:cs="仿宋_GB2312"/>
          <w:spacing w:val="0"/>
          <w:sz w:val="32"/>
          <w:szCs w:val="32"/>
          <w:highlight w:val="none"/>
          <w:lang w:val="en-US" w:eastAsia="zh-CN"/>
        </w:rPr>
        <w:t xml:space="preserve">     </w:t>
      </w:r>
      <w:r>
        <w:rPr>
          <w:rFonts w:hint="eastAsia" w:ascii="仿宋_GB2312" w:hAnsi="仿宋_GB2312" w:eastAsia="仿宋_GB2312" w:cs="仿宋_GB2312"/>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Lines="0" w:line="360" w:lineRule="auto"/>
        <w:ind w:left="0" w:leftChars="0"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附件：1</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 xml:space="preserve">年度部门整体支出绩效评价基础数据表 </w:t>
      </w:r>
    </w:p>
    <w:p>
      <w:pPr>
        <w:keepNext w:val="0"/>
        <w:keepLines w:val="0"/>
        <w:pageBreakBefore w:val="0"/>
        <w:widowControl w:val="0"/>
        <w:kinsoku/>
        <w:wordWrap/>
        <w:overflowPunct/>
        <w:topLinePunct w:val="0"/>
        <w:autoSpaceDE/>
        <w:autoSpaceDN/>
        <w:bidi w:val="0"/>
        <w:adjustRightInd/>
        <w:snapToGrid/>
        <w:spacing w:afterLines="0" w:line="360" w:lineRule="auto"/>
        <w:ind w:left="0" w:leftChars="0" w:firstLine="1600" w:firstLineChars="5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年度部门整体支出绩效自评表</w:t>
      </w:r>
    </w:p>
    <w:p>
      <w:pPr>
        <w:keepNext w:val="0"/>
        <w:keepLines w:val="0"/>
        <w:pageBreakBefore w:val="0"/>
        <w:widowControl w:val="0"/>
        <w:kinsoku/>
        <w:wordWrap/>
        <w:overflowPunct/>
        <w:topLinePunct w:val="0"/>
        <w:autoSpaceDE/>
        <w:autoSpaceDN/>
        <w:bidi w:val="0"/>
        <w:adjustRightInd/>
        <w:snapToGrid/>
        <w:spacing w:afterLines="0" w:line="360" w:lineRule="auto"/>
        <w:ind w:left="0" w:leftChars="0" w:firstLine="1600" w:firstLineChars="5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年度项目支出绩效自评表</w:t>
      </w:r>
    </w:p>
    <w:p>
      <w:pPr>
        <w:keepNext w:val="0"/>
        <w:keepLines w:val="0"/>
        <w:pageBreakBefore w:val="0"/>
        <w:widowControl w:val="0"/>
        <w:kinsoku/>
        <w:wordWrap/>
        <w:overflowPunct/>
        <w:topLinePunct w:val="0"/>
        <w:autoSpaceDE/>
        <w:autoSpaceDN/>
        <w:bidi w:val="0"/>
        <w:adjustRightInd/>
        <w:snapToGrid/>
        <w:spacing w:afterLines="0" w:line="360" w:lineRule="auto"/>
        <w:ind w:left="1596" w:leftChars="570" w:firstLine="0" w:firstLineChars="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年度</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 xml:space="preserve">直预算部门整体支出绩效自评报告 （统一参考格式）   </w:t>
      </w:r>
    </w:p>
    <w:p>
      <w:pPr>
        <w:keepNext w:val="0"/>
        <w:keepLines w:val="0"/>
        <w:pageBreakBefore w:val="0"/>
        <w:widowControl w:val="0"/>
        <w:kinsoku/>
        <w:wordWrap/>
        <w:overflowPunct/>
        <w:topLinePunct w:val="0"/>
        <w:autoSpaceDE/>
        <w:autoSpaceDN/>
        <w:bidi w:val="0"/>
        <w:adjustRightInd/>
        <w:snapToGrid/>
        <w:spacing w:afterLines="0" w:line="360" w:lineRule="auto"/>
        <w:ind w:left="0" w:leftChars="0" w:firstLine="1600" w:firstLineChars="5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部门整体支出绩效自评工作考核评分表</w:t>
      </w: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spacing w:after="120" w:afterLines="50" w:line="600" w:lineRule="exact"/>
        <w:jc w:val="both"/>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附件</w:t>
      </w:r>
      <w:r>
        <w:rPr>
          <w:rFonts w:hint="eastAsia" w:ascii="黑体" w:hAnsi="黑体" w:eastAsia="黑体" w:cs="黑体"/>
          <w:sz w:val="32"/>
          <w:szCs w:val="32"/>
          <w:highlight w:val="none"/>
          <w:lang w:val="en-US" w:eastAsia="zh-CN"/>
        </w:rPr>
        <w:t>1</w:t>
      </w:r>
    </w:p>
    <w:p>
      <w:pPr>
        <w:spacing w:after="120" w:afterLines="50" w:line="600" w:lineRule="exact"/>
        <w:jc w:val="center"/>
        <w:rPr>
          <w:rFonts w:hint="eastAsia" w:ascii="方正小标宋简体" w:hAnsi="方正小标宋简体" w:eastAsia="方正小标宋简体" w:cs="方正小标宋简体"/>
          <w:sz w:val="24"/>
          <w:highlight w:val="none"/>
        </w:rPr>
      </w:pPr>
      <w:r>
        <w:rPr>
          <w:rFonts w:hint="eastAsia" w:ascii="方正小标宋简体" w:hAnsi="方正小标宋简体" w:eastAsia="方正小标宋简体" w:cs="方正小标宋简体"/>
          <w:sz w:val="36"/>
          <w:szCs w:val="36"/>
          <w:highlight w:val="none"/>
        </w:rPr>
        <w:t>202</w:t>
      </w:r>
      <w:r>
        <w:rPr>
          <w:rFonts w:hint="eastAsia" w:ascii="方正小标宋简体" w:hAnsi="方正小标宋简体" w:eastAsia="方正小标宋简体" w:cs="方正小标宋简体"/>
          <w:sz w:val="36"/>
          <w:szCs w:val="36"/>
          <w:highlight w:val="none"/>
          <w:lang w:val="en-US" w:eastAsia="zh-CN"/>
        </w:rPr>
        <w:t>3</w:t>
      </w:r>
      <w:r>
        <w:rPr>
          <w:rFonts w:hint="eastAsia" w:ascii="方正小标宋简体" w:hAnsi="方正小标宋简体" w:eastAsia="方正小标宋简体" w:cs="方正小标宋简体"/>
          <w:sz w:val="36"/>
          <w:szCs w:val="36"/>
          <w:highlight w:val="none"/>
        </w:rPr>
        <w:t>年度部门整体支出绩效评价基础数据表</w:t>
      </w:r>
    </w:p>
    <w:tbl>
      <w:tblPr>
        <w:tblStyle w:val="7"/>
        <w:tblW w:w="9673" w:type="dxa"/>
        <w:jc w:val="center"/>
        <w:tblLayout w:type="fixed"/>
        <w:tblCellMar>
          <w:top w:w="0" w:type="dxa"/>
          <w:left w:w="108" w:type="dxa"/>
          <w:bottom w:w="0" w:type="dxa"/>
          <w:right w:w="108" w:type="dxa"/>
        </w:tblCellMar>
      </w:tblPr>
      <w:tblGrid>
        <w:gridCol w:w="3354"/>
        <w:gridCol w:w="1189"/>
        <w:gridCol w:w="849"/>
        <w:gridCol w:w="1129"/>
        <w:gridCol w:w="1111"/>
        <w:gridCol w:w="1081"/>
        <w:gridCol w:w="960"/>
      </w:tblGrid>
      <w:tr>
        <w:tblPrEx>
          <w:tblCellMar>
            <w:top w:w="0" w:type="dxa"/>
            <w:left w:w="108" w:type="dxa"/>
            <w:bottom w:w="0" w:type="dxa"/>
            <w:right w:w="108" w:type="dxa"/>
          </w:tblCellMar>
        </w:tblPrEx>
        <w:trPr>
          <w:trHeight w:val="0"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财政供养人员情况（人）</w:t>
            </w:r>
          </w:p>
        </w:tc>
        <w:tc>
          <w:tcPr>
            <w:tcW w:w="2038"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编制数</w:t>
            </w:r>
          </w:p>
        </w:tc>
        <w:tc>
          <w:tcPr>
            <w:tcW w:w="2240"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年实际在职人数</w:t>
            </w:r>
          </w:p>
        </w:tc>
        <w:tc>
          <w:tcPr>
            <w:tcW w:w="2041"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控制率</w:t>
            </w:r>
          </w:p>
        </w:tc>
      </w:tr>
      <w:tr>
        <w:tblPrEx>
          <w:tblCellMar>
            <w:top w:w="0" w:type="dxa"/>
            <w:left w:w="108" w:type="dxa"/>
            <w:bottom w:w="0" w:type="dxa"/>
            <w:right w:w="108" w:type="dxa"/>
          </w:tblCellMar>
        </w:tblPrEx>
        <w:trPr>
          <w:trHeight w:val="0"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p>
        </w:tc>
        <w:tc>
          <w:tcPr>
            <w:tcW w:w="2038"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val="en-US" w:eastAsia="zh-CN"/>
              </w:rPr>
              <w:t>37</w:t>
            </w:r>
          </w:p>
        </w:tc>
        <w:tc>
          <w:tcPr>
            <w:tcW w:w="2240"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33</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89%</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经费控制情况（万元）</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2</w:t>
            </w:r>
            <w:r>
              <w:rPr>
                <w:rFonts w:hint="eastAsia" w:ascii="仿宋_GB2312" w:hAnsi="仿宋_GB2312" w:eastAsia="仿宋_GB2312" w:cs="仿宋_GB2312"/>
                <w:b/>
                <w:bCs/>
                <w:sz w:val="20"/>
                <w:szCs w:val="20"/>
                <w:highlight w:val="none"/>
              </w:rPr>
              <w:t>年决算数</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年预算数</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年决算数</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三公经费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0.72</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5.52</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eastAsia="zh-CN"/>
              </w:rPr>
              <w:t>0.18</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1、公务用车购置和维护经费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0</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0</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eastAsia="zh-CN"/>
              </w:rPr>
              <w:t>0</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其中：公车购置</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0</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0</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eastAsia="zh-CN"/>
              </w:rPr>
              <w:t>0</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公车运行维护</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0</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0</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eastAsia="zh-CN"/>
              </w:rPr>
              <w:t>0</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2、出国经费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0</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0</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0</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3、公务接待</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0.72</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5.52</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eastAsia="zh-CN"/>
              </w:rPr>
              <w:t>0.18</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项目支出：</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886.76</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rPr>
            </w:pPr>
            <w:r>
              <w:rPr>
                <w:rFonts w:hint="eastAsia" w:ascii="仿宋_GB2312" w:hAnsi="仿宋_GB2312" w:eastAsia="仿宋_GB2312" w:cs="仿宋_GB2312"/>
                <w:sz w:val="20"/>
                <w:szCs w:val="20"/>
                <w:highlight w:val="none"/>
                <w:lang w:val="en-US" w:eastAsia="zh-CN"/>
              </w:rPr>
              <w:t>4915</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2674.43</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1、业务工作经费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183.85</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197</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val="en-US" w:eastAsia="zh-CN"/>
              </w:rPr>
              <w:t>197.2</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rPr>
              <w:t xml:space="preserve">    2、</w:t>
            </w:r>
            <w:r>
              <w:rPr>
                <w:rFonts w:hint="eastAsia" w:ascii="仿宋_GB2312" w:hAnsi="仿宋_GB2312" w:eastAsia="仿宋_GB2312" w:cs="仿宋_GB2312"/>
                <w:sz w:val="20"/>
                <w:szCs w:val="20"/>
                <w:highlight w:val="none"/>
                <w:lang w:eastAsia="zh-CN"/>
              </w:rPr>
              <w:t>污水二厂运行经费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val="en-US" w:eastAsia="zh-CN"/>
              </w:rPr>
              <w:t>656.93</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588</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570.72</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lang w:eastAsia="zh-CN"/>
              </w:rPr>
              <w:t>3、施工图审费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30.58</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lang w:eastAsia="zh-CN"/>
              </w:rPr>
              <w:t>110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33.09</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lang w:eastAsia="zh-CN"/>
              </w:rPr>
              <w:t>4、行政审批帮代办服务费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15.4</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lang w:eastAsia="zh-CN"/>
              </w:rPr>
              <w:t>20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19.47</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lang w:eastAsia="zh-CN"/>
              </w:rPr>
              <w:t>5、PPP项目财政可行性缺口补助</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lang w:eastAsia="zh-CN"/>
              </w:rPr>
              <w:t>4000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1853.95</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3、</w:t>
            </w:r>
            <w:r>
              <w:rPr>
                <w:rFonts w:hint="eastAsia" w:ascii="仿宋_GB2312" w:hAnsi="仿宋_GB2312" w:eastAsia="仿宋_GB2312" w:cs="仿宋_GB2312"/>
                <w:sz w:val="20"/>
                <w:szCs w:val="20"/>
                <w:highlight w:val="none"/>
                <w:lang w:eastAsia="zh-CN"/>
              </w:rPr>
              <w:t>市级</w:t>
            </w:r>
            <w:r>
              <w:rPr>
                <w:rFonts w:hint="eastAsia" w:ascii="仿宋_GB2312" w:hAnsi="仿宋_GB2312" w:eastAsia="仿宋_GB2312" w:cs="仿宋_GB2312"/>
                <w:sz w:val="20"/>
                <w:szCs w:val="20"/>
                <w:highlight w:val="none"/>
              </w:rPr>
              <w:t>专项资金（一个专项一行）</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公用经费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both"/>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val="en-US" w:eastAsia="zh-CN"/>
              </w:rPr>
              <w:t xml:space="preserve">   516.67</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57.23</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335.41</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其中：办公经费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FF0000"/>
                <w:sz w:val="20"/>
                <w:szCs w:val="20"/>
                <w:highlight w:val="none"/>
              </w:rPr>
            </w:pPr>
            <w:r>
              <w:rPr>
                <w:rFonts w:hint="eastAsia" w:ascii="仿宋_GB2312" w:hAnsi="仿宋_GB2312" w:eastAsia="仿宋_GB2312" w:cs="仿宋_GB2312"/>
                <w:color w:val="FF0000"/>
                <w:sz w:val="20"/>
                <w:szCs w:val="20"/>
                <w:highlight w:val="none"/>
                <w:lang w:val="en-US" w:eastAsia="zh-CN"/>
              </w:rPr>
              <w:t>10.79</w:t>
            </w:r>
            <w:r>
              <w:rPr>
                <w:rFonts w:hint="eastAsia" w:ascii="仿宋_GB2312" w:hAnsi="仿宋_GB2312" w:eastAsia="仿宋_GB2312" w:cs="仿宋_GB2312"/>
                <w:color w:val="FF0000"/>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auto"/>
                <w:sz w:val="20"/>
                <w:szCs w:val="20"/>
                <w:highlight w:val="none"/>
                <w:lang w:val="en-US" w:eastAsia="zh-CN"/>
              </w:rPr>
              <w:t>6.1</w:t>
            </w:r>
            <w:r>
              <w:rPr>
                <w:rFonts w:hint="eastAsia" w:ascii="仿宋_GB2312" w:hAnsi="仿宋_GB2312" w:eastAsia="仿宋_GB2312" w:cs="仿宋_GB2312"/>
                <w:color w:val="auto"/>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auto"/>
                <w:sz w:val="20"/>
                <w:szCs w:val="20"/>
                <w:highlight w:val="none"/>
              </w:rPr>
            </w:pPr>
            <w:r>
              <w:rPr>
                <w:rFonts w:hint="eastAsia" w:ascii="仿宋_GB2312" w:hAnsi="仿宋_GB2312" w:eastAsia="仿宋_GB2312" w:cs="仿宋_GB2312"/>
                <w:color w:val="FF0000"/>
                <w:sz w:val="20"/>
                <w:szCs w:val="20"/>
                <w:highlight w:val="none"/>
                <w:lang w:val="en-US" w:eastAsia="zh-CN"/>
              </w:rPr>
              <w:t>7.32</w:t>
            </w:r>
            <w:r>
              <w:rPr>
                <w:rFonts w:hint="eastAsia" w:ascii="仿宋_GB2312" w:hAnsi="仿宋_GB2312" w:eastAsia="仿宋_GB2312" w:cs="仿宋_GB2312"/>
                <w:color w:val="FF0000"/>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水费、电费、差旅费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color w:val="FF0000"/>
                <w:sz w:val="20"/>
                <w:szCs w:val="20"/>
                <w:highlight w:val="none"/>
                <w:lang w:val="en-US" w:eastAsia="zh-CN"/>
              </w:rPr>
            </w:pPr>
            <w:r>
              <w:rPr>
                <w:rFonts w:hint="eastAsia" w:ascii="仿宋_GB2312" w:hAnsi="仿宋_GB2312" w:eastAsia="仿宋_GB2312" w:cs="仿宋_GB2312"/>
                <w:color w:val="FF0000"/>
                <w:sz w:val="20"/>
                <w:szCs w:val="20"/>
                <w:highlight w:val="none"/>
              </w:rPr>
              <w:t>　</w:t>
            </w:r>
            <w:r>
              <w:rPr>
                <w:rFonts w:hint="eastAsia" w:ascii="仿宋_GB2312" w:hAnsi="仿宋_GB2312" w:eastAsia="仿宋_GB2312" w:cs="仿宋_GB2312"/>
                <w:color w:val="FF0000"/>
                <w:sz w:val="20"/>
                <w:szCs w:val="20"/>
                <w:highlight w:val="none"/>
                <w:lang w:val="en-US" w:eastAsia="zh-CN"/>
              </w:rPr>
              <w:t>129.24</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FF0000"/>
                <w:sz w:val="20"/>
                <w:szCs w:val="20"/>
                <w:highlight w:val="none"/>
              </w:rPr>
            </w:pPr>
            <w:r>
              <w:rPr>
                <w:rFonts w:hint="eastAsia" w:ascii="仿宋_GB2312" w:hAnsi="仿宋_GB2312" w:eastAsia="仿宋_GB2312" w:cs="仿宋_GB2312"/>
                <w:color w:val="FF0000"/>
                <w:sz w:val="20"/>
                <w:szCs w:val="20"/>
                <w:highlight w:val="none"/>
                <w:lang w:val="en-US" w:eastAsia="zh-CN"/>
              </w:rPr>
              <w:t>2.8</w:t>
            </w:r>
            <w:r>
              <w:rPr>
                <w:rFonts w:hint="eastAsia" w:ascii="仿宋_GB2312" w:hAnsi="仿宋_GB2312" w:eastAsia="仿宋_GB2312" w:cs="仿宋_GB2312"/>
                <w:color w:val="FF0000"/>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FF0000"/>
                <w:sz w:val="20"/>
                <w:szCs w:val="20"/>
                <w:highlight w:val="none"/>
              </w:rPr>
            </w:pPr>
            <w:r>
              <w:rPr>
                <w:rFonts w:hint="eastAsia" w:ascii="仿宋_GB2312" w:hAnsi="仿宋_GB2312" w:eastAsia="仿宋_GB2312" w:cs="仿宋_GB2312"/>
                <w:color w:val="FF0000"/>
                <w:sz w:val="20"/>
                <w:szCs w:val="20"/>
                <w:highlight w:val="none"/>
                <w:lang w:val="en-US" w:eastAsia="zh-CN"/>
              </w:rPr>
              <w:t>12.16</w:t>
            </w:r>
            <w:r>
              <w:rPr>
                <w:rFonts w:hint="eastAsia" w:ascii="仿宋_GB2312" w:hAnsi="仿宋_GB2312" w:eastAsia="仿宋_GB2312" w:cs="仿宋_GB2312"/>
                <w:color w:val="FF0000"/>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会议费、培训费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FF0000"/>
                <w:sz w:val="20"/>
                <w:szCs w:val="20"/>
                <w:highlight w:val="none"/>
              </w:rPr>
            </w:pPr>
            <w:r>
              <w:rPr>
                <w:rFonts w:hint="eastAsia" w:ascii="仿宋_GB2312" w:hAnsi="仿宋_GB2312" w:eastAsia="仿宋_GB2312" w:cs="仿宋_GB2312"/>
                <w:color w:val="FF0000"/>
                <w:sz w:val="20"/>
                <w:szCs w:val="20"/>
                <w:highlight w:val="none"/>
                <w:lang w:val="en-US" w:eastAsia="zh-CN"/>
              </w:rPr>
              <w:t>0.85</w:t>
            </w:r>
            <w:r>
              <w:rPr>
                <w:rFonts w:hint="eastAsia" w:ascii="仿宋_GB2312" w:hAnsi="仿宋_GB2312" w:eastAsia="仿宋_GB2312" w:cs="仿宋_GB2312"/>
                <w:color w:val="FF0000"/>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FF0000"/>
                <w:sz w:val="20"/>
                <w:szCs w:val="20"/>
                <w:highlight w:val="none"/>
              </w:rPr>
            </w:pPr>
            <w:r>
              <w:rPr>
                <w:rFonts w:hint="eastAsia" w:ascii="仿宋_GB2312" w:hAnsi="仿宋_GB2312" w:eastAsia="仿宋_GB2312" w:cs="仿宋_GB2312"/>
                <w:color w:val="FF0000"/>
                <w:sz w:val="20"/>
                <w:szCs w:val="20"/>
                <w:highlight w:val="none"/>
                <w:lang w:val="en-US" w:eastAsia="zh-CN"/>
              </w:rPr>
              <w:t>2</w:t>
            </w:r>
            <w:r>
              <w:rPr>
                <w:rFonts w:hint="eastAsia" w:ascii="仿宋_GB2312" w:hAnsi="仿宋_GB2312" w:eastAsia="仿宋_GB2312" w:cs="仿宋_GB2312"/>
                <w:color w:val="FF0000"/>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FF0000"/>
                <w:sz w:val="20"/>
                <w:szCs w:val="20"/>
                <w:highlight w:val="none"/>
              </w:rPr>
            </w:pPr>
            <w:r>
              <w:rPr>
                <w:rFonts w:hint="eastAsia" w:ascii="仿宋_GB2312" w:hAnsi="仿宋_GB2312" w:eastAsia="仿宋_GB2312" w:cs="仿宋_GB2312"/>
                <w:color w:val="FF0000"/>
                <w:sz w:val="20"/>
                <w:szCs w:val="20"/>
                <w:highlight w:val="none"/>
                <w:lang w:val="en-US" w:eastAsia="zh-CN"/>
              </w:rPr>
              <w:t>0.54</w:t>
            </w:r>
            <w:r>
              <w:rPr>
                <w:rFonts w:hint="eastAsia" w:ascii="仿宋_GB2312" w:hAnsi="仿宋_GB2312" w:eastAsia="仿宋_GB2312" w:cs="仿宋_GB2312"/>
                <w:color w:val="FF0000"/>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政府采购金额</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340</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1536.4</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部门基本支出预算调整 </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vMerge w:val="restart"/>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楼堂馆所控制情况</w:t>
            </w:r>
            <w:r>
              <w:rPr>
                <w:rFonts w:hint="eastAsia" w:ascii="仿宋_GB2312" w:hAnsi="仿宋_GB2312" w:eastAsia="仿宋_GB2312" w:cs="仿宋_GB2312"/>
                <w:sz w:val="20"/>
                <w:szCs w:val="20"/>
                <w:highlight w:val="none"/>
              </w:rPr>
              <w:br w:type="textWrapping"/>
            </w:r>
            <w:r>
              <w:rPr>
                <w:rFonts w:hint="eastAsia" w:ascii="仿宋_GB2312" w:hAnsi="仿宋_GB2312" w:eastAsia="仿宋_GB2312" w:cs="仿宋_GB2312"/>
                <w:sz w:val="20"/>
                <w:szCs w:val="20"/>
                <w:highlight w:val="none"/>
              </w:rPr>
              <w:t>（202</w:t>
            </w:r>
            <w:r>
              <w:rPr>
                <w:rFonts w:hint="eastAsia" w:ascii="仿宋_GB2312" w:hAnsi="仿宋_GB2312" w:eastAsia="仿宋_GB2312" w:cs="仿宋_GB2312"/>
                <w:sz w:val="20"/>
                <w:szCs w:val="20"/>
                <w:highlight w:val="none"/>
                <w:lang w:val="en-US" w:eastAsia="zh-CN"/>
              </w:rPr>
              <w:t>3</w:t>
            </w:r>
            <w:r>
              <w:rPr>
                <w:rFonts w:hint="eastAsia" w:ascii="仿宋_GB2312" w:hAnsi="仿宋_GB2312" w:eastAsia="仿宋_GB2312" w:cs="仿宋_GB2312"/>
                <w:sz w:val="20"/>
                <w:szCs w:val="20"/>
                <w:highlight w:val="none"/>
              </w:rPr>
              <w:t>年完工项目）</w:t>
            </w:r>
          </w:p>
        </w:tc>
        <w:tc>
          <w:tcPr>
            <w:tcW w:w="118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批复规模</w:t>
            </w:r>
            <w:r>
              <w:rPr>
                <w:rFonts w:hint="eastAsia" w:ascii="仿宋_GB2312" w:hAnsi="仿宋_GB2312" w:eastAsia="仿宋_GB2312" w:cs="仿宋_GB2312"/>
                <w:bCs/>
                <w:sz w:val="20"/>
                <w:szCs w:val="20"/>
                <w:highlight w:val="none"/>
              </w:rPr>
              <w:br w:type="textWrapping"/>
            </w:r>
            <w:r>
              <w:rPr>
                <w:rFonts w:hint="eastAsia" w:ascii="仿宋_GB2312" w:hAnsi="仿宋_GB2312" w:eastAsia="仿宋_GB2312" w:cs="仿宋_GB2312"/>
                <w:bCs/>
                <w:sz w:val="20"/>
                <w:szCs w:val="20"/>
                <w:highlight w:val="none"/>
              </w:rPr>
              <w:t>（㎡）</w:t>
            </w:r>
          </w:p>
        </w:tc>
        <w:tc>
          <w:tcPr>
            <w:tcW w:w="84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实际规模（㎡）</w:t>
            </w:r>
          </w:p>
        </w:tc>
        <w:tc>
          <w:tcPr>
            <w:tcW w:w="112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规模控制率</w:t>
            </w:r>
          </w:p>
        </w:tc>
        <w:tc>
          <w:tcPr>
            <w:tcW w:w="1111"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预算投资（万元）</w:t>
            </w:r>
          </w:p>
        </w:tc>
        <w:tc>
          <w:tcPr>
            <w:tcW w:w="1081"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实际投资（万元）</w:t>
            </w:r>
          </w:p>
        </w:tc>
        <w:tc>
          <w:tcPr>
            <w:tcW w:w="960"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投资概算控制率</w:t>
            </w:r>
          </w:p>
        </w:tc>
      </w:tr>
      <w:tr>
        <w:tblPrEx>
          <w:tblCellMar>
            <w:top w:w="0" w:type="dxa"/>
            <w:left w:w="108" w:type="dxa"/>
            <w:bottom w:w="0" w:type="dxa"/>
            <w:right w:w="108" w:type="dxa"/>
          </w:tblCellMar>
        </w:tblPrEx>
        <w:trPr>
          <w:trHeight w:val="0" w:hRule="atLeast"/>
          <w:jc w:val="center"/>
        </w:trPr>
        <w:tc>
          <w:tcPr>
            <w:tcW w:w="3354" w:type="dxa"/>
            <w:vMerge w:val="continue"/>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p>
        </w:tc>
        <w:tc>
          <w:tcPr>
            <w:tcW w:w="118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849"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129"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11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08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960"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厉行节约保障措施</w:t>
            </w:r>
          </w:p>
        </w:tc>
        <w:tc>
          <w:tcPr>
            <w:tcW w:w="6319" w:type="dxa"/>
            <w:gridSpan w:val="6"/>
            <w:tcBorders>
              <w:top w:val="single" w:color="auto" w:sz="4" w:space="0"/>
              <w:left w:val="nil"/>
              <w:bottom w:val="single" w:color="auto" w:sz="4" w:space="0"/>
              <w:right w:val="single" w:color="000000" w:sz="4" w:space="0"/>
            </w:tcBorders>
            <w:noWrap w:val="0"/>
            <w:vAlign w:val="center"/>
          </w:tcPr>
          <w:p>
            <w:pPr>
              <w:widowControl/>
              <w:numPr>
                <w:ilvl w:val="0"/>
                <w:numId w:val="1"/>
              </w:numPr>
              <w:spacing w:line="240" w:lineRule="auto"/>
              <w:ind w:left="425" w:leftChars="0" w:hanging="425" w:firstLineChars="0"/>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严控办公经费：推行无纸化办公，减少纸质文件的使用；充分利用自然采光，及时关闭办公设备电源，合理设置空调温度，节约办公用水。</w:t>
            </w:r>
          </w:p>
          <w:p>
            <w:pPr>
              <w:widowControl/>
              <w:numPr>
                <w:ilvl w:val="0"/>
                <w:numId w:val="1"/>
              </w:numPr>
              <w:spacing w:line="240" w:lineRule="auto"/>
              <w:ind w:left="425" w:leftChars="0" w:hanging="425" w:firstLineChars="0"/>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严控“三公”经费：原则上不安排因公出国管理，严禁同城接待，公务接待优先选择单位食堂作为接待场所，减少不必要的公务接待费用。</w:t>
            </w:r>
          </w:p>
          <w:p>
            <w:pPr>
              <w:widowControl/>
              <w:numPr>
                <w:ilvl w:val="0"/>
                <w:numId w:val="0"/>
              </w:numPr>
              <w:spacing w:line="360" w:lineRule="exact"/>
              <w:jc w:val="both"/>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bl>
    <w:p>
      <w:pPr>
        <w:widowControl/>
        <w:spacing w:afterLines="0" w:line="400" w:lineRule="exact"/>
        <w:jc w:val="left"/>
        <w:rPr>
          <w:rFonts w:hint="default" w:ascii="Times New Roman" w:hAnsi="Times New Roman" w:eastAsia="仿宋_GB2312" w:cs="Times New Roman"/>
          <w:sz w:val="22"/>
          <w:highlight w:val="none"/>
        </w:rPr>
      </w:pPr>
      <w:r>
        <w:rPr>
          <w:rFonts w:hint="default" w:ascii="Times New Roman" w:hAnsi="Times New Roman" w:eastAsia="仿宋_GB2312" w:cs="Times New Roman"/>
          <w:sz w:val="22"/>
          <w:highlight w:val="none"/>
        </w:rPr>
        <w:t>说明：“项目支出”需要填报基本支出以外的所有项目支出情况，“公用经费”填报基本支出中的一般商品和服务支出。</w:t>
      </w:r>
    </w:p>
    <w:p>
      <w:pPr>
        <w:widowControl/>
        <w:spacing w:afterLines="0" w:line="400" w:lineRule="exact"/>
        <w:jc w:val="left"/>
        <w:rPr>
          <w:rFonts w:hint="default" w:ascii="Times New Roman" w:hAnsi="Times New Roman" w:eastAsia="仿宋_GB2312" w:cs="Times New Roman"/>
          <w:sz w:val="22"/>
          <w:highlight w:val="none"/>
        </w:rPr>
      </w:pPr>
    </w:p>
    <w:p>
      <w:pPr>
        <w:widowControl/>
        <w:spacing w:after="0" w:afterLines="0" w:line="400" w:lineRule="exact"/>
        <w:jc w:val="left"/>
        <w:rPr>
          <w:rFonts w:hint="eastAsia" w:ascii="黑体" w:hAnsi="黑体" w:eastAsia="黑体" w:cs="黑体"/>
          <w:sz w:val="32"/>
          <w:szCs w:val="32"/>
          <w:highlight w:val="none"/>
          <w:lang w:eastAsia="zh-CN"/>
        </w:rPr>
      </w:pPr>
      <w:r>
        <w:rPr>
          <w:rFonts w:hint="default" w:ascii="Times New Roman" w:hAnsi="Times New Roman" w:eastAsia="仿宋_GB2312" w:cs="Times New Roman"/>
          <w:sz w:val="22"/>
          <w:highlight w:val="none"/>
        </w:rPr>
        <w:t xml:space="preserve">填表人： </w:t>
      </w:r>
      <w:r>
        <w:rPr>
          <w:rFonts w:hint="eastAsia" w:ascii="Times New Roman" w:hAnsi="Times New Roman" w:eastAsia="仿宋_GB2312" w:cs="Times New Roman"/>
          <w:sz w:val="22"/>
          <w:highlight w:val="none"/>
          <w:lang w:val="en-US" w:eastAsia="zh-CN"/>
        </w:rPr>
        <w:t>欧阳雪洁</w:t>
      </w:r>
      <w:r>
        <w:rPr>
          <w:rFonts w:hint="default" w:ascii="Times New Roman" w:hAnsi="Times New Roman" w:eastAsia="仿宋_GB2312" w:cs="Times New Roman"/>
          <w:sz w:val="22"/>
          <w:highlight w:val="none"/>
        </w:rPr>
        <w:t xml:space="preserve">       填报日期：</w:t>
      </w:r>
      <w:r>
        <w:rPr>
          <w:rFonts w:hint="eastAsia" w:ascii="Times New Roman" w:hAnsi="Times New Roman" w:eastAsia="仿宋_GB2312" w:cs="Times New Roman"/>
          <w:sz w:val="22"/>
          <w:highlight w:val="none"/>
          <w:lang w:val="en-US" w:eastAsia="zh-CN"/>
        </w:rPr>
        <w:t>2024年6月25日</w:t>
      </w:r>
      <w:r>
        <w:rPr>
          <w:rFonts w:hint="default" w:ascii="Times New Roman" w:hAnsi="Times New Roman" w:eastAsia="仿宋_GB2312" w:cs="Times New Roman"/>
          <w:sz w:val="22"/>
          <w:highlight w:val="none"/>
        </w:rPr>
        <w:t xml:space="preserve">       联系电话： </w:t>
      </w:r>
      <w:r>
        <w:rPr>
          <w:rFonts w:hint="eastAsia" w:ascii="Times New Roman" w:hAnsi="Times New Roman" w:eastAsia="仿宋_GB2312" w:cs="Times New Roman"/>
          <w:sz w:val="22"/>
          <w:highlight w:val="none"/>
          <w:lang w:val="en-US" w:eastAsia="zh-CN"/>
        </w:rPr>
        <w:t>17673161025</w:t>
      </w:r>
      <w:r>
        <w:rPr>
          <w:rFonts w:hint="default" w:ascii="Times New Roman" w:hAnsi="Times New Roman" w:eastAsia="仿宋_GB2312" w:cs="Times New Roman"/>
          <w:sz w:val="22"/>
          <w:highlight w:val="none"/>
        </w:rPr>
        <w:t xml:space="preserve">           单位负责人签字：</w:t>
      </w:r>
      <w:r>
        <w:rPr>
          <w:rFonts w:hint="default" w:ascii="Times New Roman" w:hAnsi="Times New Roman" w:eastAsia="仿宋_GB2312" w:cs="Times New Roman"/>
          <w:sz w:val="22"/>
          <w:highlight w:val="none"/>
        </w:rPr>
        <w:br w:type="page"/>
      </w: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2</w:t>
      </w:r>
    </w:p>
    <w:p>
      <w:pPr>
        <w:widowControl/>
        <w:spacing w:after="120" w:afterLines="50"/>
        <w:jc w:val="center"/>
        <w:rPr>
          <w:rFonts w:hint="eastAsia" w:ascii="方正小标宋简体" w:hAnsi="方正小标宋简体" w:eastAsia="方正小标宋简体" w:cs="方正小标宋简体"/>
          <w:color w:val="000000"/>
          <w:sz w:val="36"/>
          <w:szCs w:val="36"/>
          <w:highlight w:val="none"/>
        </w:rPr>
      </w:pPr>
      <w:r>
        <w:rPr>
          <w:rFonts w:hint="eastAsia" w:ascii="方正小标宋简体" w:hAnsi="方正小标宋简体" w:eastAsia="方正小标宋简体" w:cs="方正小标宋简体"/>
          <w:color w:val="000000"/>
          <w:sz w:val="36"/>
          <w:szCs w:val="36"/>
          <w:highlight w:val="none"/>
        </w:rPr>
        <w:t>202</w:t>
      </w:r>
      <w:r>
        <w:rPr>
          <w:rFonts w:hint="eastAsia" w:ascii="方正小标宋简体" w:hAnsi="方正小标宋简体" w:eastAsia="方正小标宋简体" w:cs="方正小标宋简体"/>
          <w:color w:val="000000"/>
          <w:sz w:val="36"/>
          <w:szCs w:val="36"/>
          <w:highlight w:val="none"/>
          <w:lang w:val="en-US" w:eastAsia="zh-CN"/>
        </w:rPr>
        <w:t>3</w:t>
      </w:r>
      <w:r>
        <w:rPr>
          <w:rFonts w:hint="eastAsia" w:ascii="方正小标宋简体" w:hAnsi="方正小标宋简体" w:eastAsia="方正小标宋简体" w:cs="方正小标宋简体"/>
          <w:color w:val="000000"/>
          <w:sz w:val="36"/>
          <w:szCs w:val="36"/>
          <w:highlight w:val="none"/>
        </w:rPr>
        <w:t>年度部门整体支出绩效自评表</w:t>
      </w:r>
    </w:p>
    <w:tbl>
      <w:tblPr>
        <w:tblStyle w:val="7"/>
        <w:tblW w:w="10079" w:type="dxa"/>
        <w:jc w:val="center"/>
        <w:tblLayout w:type="autofit"/>
        <w:tblCellMar>
          <w:top w:w="0" w:type="dxa"/>
          <w:left w:w="108" w:type="dxa"/>
          <w:bottom w:w="0" w:type="dxa"/>
          <w:right w:w="108" w:type="dxa"/>
        </w:tblCellMar>
      </w:tblPr>
      <w:tblGrid>
        <w:gridCol w:w="1074"/>
        <w:gridCol w:w="1074"/>
        <w:gridCol w:w="1027"/>
        <w:gridCol w:w="1266"/>
        <w:gridCol w:w="1306"/>
        <w:gridCol w:w="1265"/>
        <w:gridCol w:w="715"/>
        <w:gridCol w:w="916"/>
        <w:gridCol w:w="1436"/>
      </w:tblGrid>
      <w:tr>
        <w:tblPrEx>
          <w:tblCellMar>
            <w:top w:w="0" w:type="dxa"/>
            <w:left w:w="108" w:type="dxa"/>
            <w:bottom w:w="0" w:type="dxa"/>
            <w:right w:w="108" w:type="dxa"/>
          </w:tblCellMar>
        </w:tblPrEx>
        <w:trPr>
          <w:jc w:val="center"/>
        </w:trPr>
        <w:tc>
          <w:tcPr>
            <w:tcW w:w="107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市</w:t>
            </w:r>
            <w:r>
              <w:rPr>
                <w:rFonts w:hint="eastAsia" w:ascii="仿宋_GB2312" w:hAnsi="仿宋_GB2312" w:eastAsia="仿宋_GB2312" w:cs="仿宋_GB2312"/>
                <w:color w:val="000000"/>
                <w:sz w:val="20"/>
                <w:szCs w:val="20"/>
                <w:highlight w:val="none"/>
              </w:rPr>
              <w:t>级预算部门名称</w:t>
            </w:r>
          </w:p>
        </w:tc>
        <w:tc>
          <w:tcPr>
            <w:tcW w:w="9005" w:type="dxa"/>
            <w:gridSpan w:val="8"/>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岳阳市君山区住房和城乡建设局</w:t>
            </w: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restart"/>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年度预</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算申请</w:t>
            </w:r>
            <w:r>
              <w:rPr>
                <w:rFonts w:hint="eastAsia" w:ascii="仿宋_GB2312" w:hAnsi="仿宋_GB2312" w:eastAsia="仿宋_GB2312" w:cs="仿宋_GB2312"/>
                <w:color w:val="000000"/>
                <w:sz w:val="20"/>
                <w:szCs w:val="20"/>
                <w:highlight w:val="none"/>
              </w:rPr>
              <w:br w:type="textWrapping"/>
            </w:r>
            <w:r>
              <w:rPr>
                <w:rFonts w:hint="eastAsia" w:ascii="仿宋_GB2312" w:hAnsi="仿宋_GB2312" w:eastAsia="仿宋_GB2312" w:cs="仿宋_GB2312"/>
                <w:color w:val="000000"/>
                <w:sz w:val="20"/>
                <w:szCs w:val="20"/>
                <w:highlight w:val="none"/>
              </w:rPr>
              <w:t>（万元）</w:t>
            </w:r>
          </w:p>
        </w:tc>
        <w:tc>
          <w:tcPr>
            <w:tcW w:w="2101" w:type="dxa"/>
            <w:gridSpan w:val="2"/>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p>
        </w:tc>
        <w:tc>
          <w:tcPr>
            <w:tcW w:w="1266"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年初预算数</w:t>
            </w:r>
          </w:p>
        </w:tc>
        <w:tc>
          <w:tcPr>
            <w:tcW w:w="1306"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全年预算数</w:t>
            </w:r>
          </w:p>
        </w:tc>
        <w:tc>
          <w:tcPr>
            <w:tcW w:w="1265"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全年执行数</w:t>
            </w:r>
          </w:p>
        </w:tc>
        <w:tc>
          <w:tcPr>
            <w:tcW w:w="715"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分值</w:t>
            </w:r>
          </w:p>
        </w:tc>
        <w:tc>
          <w:tcPr>
            <w:tcW w:w="916"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执行率</w:t>
            </w:r>
          </w:p>
        </w:tc>
        <w:tc>
          <w:tcPr>
            <w:tcW w:w="1436"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得分</w:t>
            </w:r>
          </w:p>
        </w:tc>
      </w:tr>
      <w:tr>
        <w:tblPrEx>
          <w:tblCellMar>
            <w:top w:w="0" w:type="dxa"/>
            <w:left w:w="108" w:type="dxa"/>
            <w:bottom w:w="0" w:type="dxa"/>
            <w:right w:w="108" w:type="dxa"/>
          </w:tblCellMar>
        </w:tblPrEx>
        <w:trPr>
          <w:jc w:val="center"/>
        </w:trPr>
        <w:tc>
          <w:tcPr>
            <w:tcW w:w="1074" w:type="dxa"/>
            <w:vMerge w:val="continue"/>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2101" w:type="dxa"/>
            <w:gridSpan w:val="2"/>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color w:val="000000"/>
                <w:sz w:val="20"/>
                <w:szCs w:val="20"/>
                <w:highlight w:val="none"/>
              </w:rPr>
              <w:t>年度资金总额</w:t>
            </w:r>
          </w:p>
        </w:tc>
        <w:tc>
          <w:tcPr>
            <w:tcW w:w="1266"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5480.54</w:t>
            </w:r>
          </w:p>
        </w:tc>
        <w:tc>
          <w:tcPr>
            <w:tcW w:w="1306"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6010.76</w:t>
            </w:r>
          </w:p>
        </w:tc>
        <w:tc>
          <w:tcPr>
            <w:tcW w:w="1265"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7290.83</w:t>
            </w:r>
          </w:p>
        </w:tc>
        <w:tc>
          <w:tcPr>
            <w:tcW w:w="715"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10</w:t>
            </w:r>
          </w:p>
        </w:tc>
        <w:tc>
          <w:tcPr>
            <w:tcW w:w="916"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133.03%</w:t>
            </w:r>
          </w:p>
        </w:tc>
        <w:tc>
          <w:tcPr>
            <w:tcW w:w="1436"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10</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73"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按收入性质分：</w:t>
            </w:r>
          </w:p>
        </w:tc>
        <w:tc>
          <w:tcPr>
            <w:tcW w:w="4332"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按支出性质分：</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73"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xml:space="preserve">  其中：  一般公共预算：</w:t>
            </w:r>
            <w:r>
              <w:rPr>
                <w:rFonts w:hint="eastAsia" w:ascii="仿宋_GB2312" w:hAnsi="仿宋_GB2312" w:eastAsia="仿宋_GB2312" w:cs="仿宋_GB2312"/>
                <w:color w:val="000000"/>
                <w:sz w:val="20"/>
                <w:szCs w:val="20"/>
                <w:highlight w:val="none"/>
                <w:lang w:val="en-US" w:eastAsia="zh-CN"/>
              </w:rPr>
              <w:t>1030.68</w:t>
            </w:r>
          </w:p>
        </w:tc>
        <w:tc>
          <w:tcPr>
            <w:tcW w:w="4332"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其中：基本支出：</w:t>
            </w:r>
            <w:r>
              <w:rPr>
                <w:rFonts w:hint="eastAsia" w:ascii="仿宋_GB2312" w:hAnsi="仿宋_GB2312" w:eastAsia="仿宋_GB2312" w:cs="仿宋_GB2312"/>
                <w:color w:val="000000"/>
                <w:sz w:val="20"/>
                <w:szCs w:val="20"/>
                <w:highlight w:val="none"/>
                <w:lang w:val="en-US" w:eastAsia="zh-CN"/>
              </w:rPr>
              <w:t>1464.17</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73" w:type="dxa"/>
            <w:gridSpan w:val="4"/>
            <w:tcBorders>
              <w:top w:val="nil"/>
              <w:left w:val="nil"/>
              <w:bottom w:val="single" w:color="auto" w:sz="4" w:space="0"/>
              <w:right w:val="single" w:color="auto" w:sz="4" w:space="0"/>
            </w:tcBorders>
            <w:noWrap w:val="0"/>
            <w:vAlign w:val="center"/>
          </w:tcPr>
          <w:p>
            <w:pPr>
              <w:widowControl/>
              <w:spacing w:line="240" w:lineRule="exact"/>
              <w:ind w:firstLine="800" w:firstLineChars="400"/>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政府性基金拨款：</w:t>
            </w:r>
            <w:r>
              <w:rPr>
                <w:rFonts w:hint="eastAsia" w:ascii="仿宋_GB2312" w:hAnsi="仿宋_GB2312" w:eastAsia="仿宋_GB2312" w:cs="仿宋_GB2312"/>
                <w:color w:val="000000"/>
                <w:sz w:val="20"/>
                <w:szCs w:val="20"/>
                <w:highlight w:val="none"/>
                <w:lang w:val="en-US" w:eastAsia="zh-CN"/>
              </w:rPr>
              <w:t>4450</w:t>
            </w:r>
          </w:p>
        </w:tc>
        <w:tc>
          <w:tcPr>
            <w:tcW w:w="4332" w:type="dxa"/>
            <w:gridSpan w:val="4"/>
            <w:tcBorders>
              <w:top w:val="nil"/>
              <w:left w:val="nil"/>
              <w:bottom w:val="single" w:color="auto" w:sz="4" w:space="0"/>
              <w:right w:val="single" w:color="auto" w:sz="4" w:space="0"/>
            </w:tcBorders>
            <w:noWrap w:val="0"/>
            <w:vAlign w:val="center"/>
          </w:tcPr>
          <w:p>
            <w:pPr>
              <w:widowControl/>
              <w:spacing w:line="240" w:lineRule="exact"/>
              <w:ind w:firstLine="600" w:firstLineChars="300"/>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项目支出：</w:t>
            </w:r>
            <w:r>
              <w:rPr>
                <w:rFonts w:hint="eastAsia" w:ascii="仿宋_GB2312" w:hAnsi="仿宋_GB2312" w:eastAsia="仿宋_GB2312" w:cs="仿宋_GB2312"/>
                <w:color w:val="000000"/>
                <w:sz w:val="20"/>
                <w:szCs w:val="20"/>
                <w:highlight w:val="none"/>
                <w:lang w:val="en-US" w:eastAsia="zh-CN"/>
              </w:rPr>
              <w:t>5826.66</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73"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纳入专户管理的非税收入拨款：</w:t>
            </w:r>
            <w:r>
              <w:rPr>
                <w:rFonts w:hint="eastAsia" w:ascii="仿宋_GB2312" w:hAnsi="仿宋_GB2312" w:eastAsia="仿宋_GB2312" w:cs="仿宋_GB2312"/>
                <w:color w:val="000000"/>
                <w:sz w:val="20"/>
                <w:szCs w:val="20"/>
                <w:highlight w:val="none"/>
                <w:lang w:val="en-US" w:eastAsia="zh-CN"/>
              </w:rPr>
              <w:t>0</w:t>
            </w:r>
          </w:p>
        </w:tc>
        <w:tc>
          <w:tcPr>
            <w:tcW w:w="4332"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jc w:val="center"/>
        </w:trPr>
        <w:tc>
          <w:tcPr>
            <w:tcW w:w="1074" w:type="dxa"/>
            <w:vMerge w:val="continue"/>
            <w:tcBorders>
              <w:left w:val="single" w:color="auto" w:sz="4" w:space="0"/>
              <w:bottom w:val="single" w:color="000000"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73" w:type="dxa"/>
            <w:gridSpan w:val="4"/>
            <w:tcBorders>
              <w:top w:val="nil"/>
              <w:left w:val="nil"/>
              <w:bottom w:val="single" w:color="auto" w:sz="4" w:space="0"/>
              <w:right w:val="single" w:color="auto" w:sz="4" w:space="0"/>
            </w:tcBorders>
            <w:noWrap w:val="0"/>
            <w:vAlign w:val="center"/>
          </w:tcPr>
          <w:p>
            <w:pPr>
              <w:widowControl/>
              <w:spacing w:line="240" w:lineRule="exact"/>
              <w:ind w:firstLine="1400" w:firstLineChars="700"/>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其他资金：</w:t>
            </w:r>
            <w:r>
              <w:rPr>
                <w:rFonts w:hint="eastAsia" w:ascii="仿宋_GB2312" w:hAnsi="仿宋_GB2312" w:eastAsia="仿宋_GB2312" w:cs="仿宋_GB2312"/>
                <w:color w:val="000000"/>
                <w:sz w:val="20"/>
                <w:szCs w:val="20"/>
                <w:highlight w:val="none"/>
                <w:lang w:val="en-US" w:eastAsia="zh-CN"/>
              </w:rPr>
              <w:t>0</w:t>
            </w:r>
          </w:p>
        </w:tc>
        <w:tc>
          <w:tcPr>
            <w:tcW w:w="4332"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jc w:val="center"/>
        </w:trPr>
        <w:tc>
          <w:tcPr>
            <w:tcW w:w="1074" w:type="dxa"/>
            <w:vMerge w:val="restart"/>
            <w:tcBorders>
              <w:top w:val="nil"/>
              <w:left w:val="single" w:color="auto" w:sz="4" w:space="0"/>
              <w:bottom w:val="single" w:color="000000"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年度总体目标</w:t>
            </w:r>
          </w:p>
        </w:tc>
        <w:tc>
          <w:tcPr>
            <w:tcW w:w="4673" w:type="dxa"/>
            <w:gridSpan w:val="4"/>
            <w:tcBorders>
              <w:top w:val="single" w:color="auto" w:sz="4" w:space="0"/>
              <w:left w:val="nil"/>
              <w:bottom w:val="single" w:color="auto" w:sz="4" w:space="0"/>
              <w:right w:val="single" w:color="000000"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预期目标</w:t>
            </w:r>
          </w:p>
        </w:tc>
        <w:tc>
          <w:tcPr>
            <w:tcW w:w="4332" w:type="dxa"/>
            <w:gridSpan w:val="4"/>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实际完成情况　</w:t>
            </w:r>
          </w:p>
        </w:tc>
      </w:tr>
      <w:tr>
        <w:tblPrEx>
          <w:tblCellMar>
            <w:top w:w="0" w:type="dxa"/>
            <w:left w:w="108" w:type="dxa"/>
            <w:bottom w:w="0" w:type="dxa"/>
            <w:right w:w="108" w:type="dxa"/>
          </w:tblCellMar>
        </w:tblPrEx>
        <w:trPr>
          <w:trHeight w:val="5238" w:hRule="atLeast"/>
          <w:jc w:val="center"/>
        </w:trPr>
        <w:tc>
          <w:tcPr>
            <w:tcW w:w="1074" w:type="dxa"/>
            <w:vMerge w:val="continue"/>
            <w:tcBorders>
              <w:top w:val="nil"/>
              <w:left w:val="single" w:color="auto" w:sz="4" w:space="0"/>
              <w:bottom w:val="single" w:color="000000"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73" w:type="dxa"/>
            <w:gridSpan w:val="4"/>
            <w:tcBorders>
              <w:top w:val="single" w:color="auto" w:sz="4" w:space="0"/>
              <w:left w:val="nil"/>
              <w:bottom w:val="single" w:color="auto" w:sz="4" w:space="0"/>
              <w:right w:val="single" w:color="000000"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400" w:firstLineChars="200"/>
              <w:textAlignment w:val="auto"/>
              <w:rPr>
                <w:rFonts w:hint="default" w:ascii="仿宋_GB2312" w:hAnsi="仿宋_GB2312" w:eastAsia="仿宋_GB2312" w:cs="仿宋_GB2312"/>
                <w:b w:val="0"/>
                <w:bCs w:val="0"/>
                <w:color w:val="000000"/>
                <w:sz w:val="20"/>
                <w:szCs w:val="20"/>
                <w:lang w:val="en-US" w:eastAsia="zh-CN"/>
              </w:rPr>
            </w:pPr>
            <w:r>
              <w:rPr>
                <w:rFonts w:hint="eastAsia" w:ascii="仿宋_GB2312" w:hAnsi="仿宋_GB2312" w:eastAsia="仿宋_GB2312" w:cs="仿宋_GB2312"/>
                <w:b w:val="0"/>
                <w:bCs w:val="0"/>
                <w:color w:val="000000"/>
                <w:sz w:val="20"/>
                <w:szCs w:val="20"/>
                <w:lang w:val="en-US" w:eastAsia="zh-CN"/>
              </w:rPr>
              <w:t>2023</w:t>
            </w:r>
            <w:r>
              <w:rPr>
                <w:rFonts w:hint="default" w:ascii="仿宋_GB2312" w:hAnsi="仿宋_GB2312" w:eastAsia="仿宋_GB2312" w:cs="仿宋_GB2312"/>
                <w:b w:val="0"/>
                <w:bCs w:val="0"/>
                <w:color w:val="000000"/>
                <w:sz w:val="20"/>
                <w:szCs w:val="20"/>
                <w:lang w:val="en-US" w:eastAsia="zh-CN"/>
              </w:rPr>
              <w:t>年</w:t>
            </w:r>
            <w:r>
              <w:rPr>
                <w:rFonts w:hint="eastAsia" w:ascii="仿宋_GB2312" w:hAnsi="仿宋_GB2312" w:eastAsia="仿宋_GB2312" w:cs="仿宋_GB2312"/>
                <w:b w:val="0"/>
                <w:bCs w:val="0"/>
                <w:color w:val="000000"/>
                <w:sz w:val="20"/>
                <w:szCs w:val="20"/>
                <w:lang w:val="en-US" w:eastAsia="zh-CN"/>
              </w:rPr>
              <w:t>我局将</w:t>
            </w:r>
            <w:r>
              <w:rPr>
                <w:rFonts w:hint="default" w:ascii="仿宋_GB2312" w:hAnsi="仿宋_GB2312" w:eastAsia="仿宋_GB2312" w:cs="仿宋_GB2312"/>
                <w:b w:val="0"/>
                <w:bCs w:val="0"/>
                <w:color w:val="000000"/>
                <w:sz w:val="20"/>
                <w:szCs w:val="20"/>
                <w:lang w:val="en-US" w:eastAsia="zh-CN"/>
              </w:rPr>
              <w:t>继续发扬肯干事、干好事的精神。</w:t>
            </w:r>
            <w:r>
              <w:rPr>
                <w:rFonts w:hint="eastAsia" w:ascii="仿宋_GB2312" w:hAnsi="仿宋_GB2312" w:eastAsia="仿宋_GB2312" w:cs="仿宋_GB2312"/>
                <w:b/>
                <w:bCs/>
                <w:color w:val="000000"/>
                <w:sz w:val="20"/>
                <w:szCs w:val="20"/>
                <w:lang w:val="en-US" w:eastAsia="zh-CN"/>
              </w:rPr>
              <w:t>一是要领会精神，狠抓落实。</w:t>
            </w:r>
            <w:r>
              <w:rPr>
                <w:rFonts w:hint="default" w:ascii="仿宋_GB2312" w:hAnsi="仿宋_GB2312" w:eastAsia="仿宋_GB2312" w:cs="仿宋_GB2312"/>
                <w:b w:val="0"/>
                <w:bCs w:val="0"/>
                <w:color w:val="000000"/>
                <w:sz w:val="20"/>
                <w:szCs w:val="20"/>
                <w:lang w:val="en-US" w:eastAsia="zh-CN"/>
              </w:rPr>
              <w:t>要认真学习领会区委经济工作会议和政府工作报告，层层分解任务，要以开局即冲刺的干劲，完成各项工作任务。</w:t>
            </w:r>
            <w:r>
              <w:rPr>
                <w:rFonts w:hint="default" w:ascii="仿宋_GB2312" w:hAnsi="仿宋_GB2312" w:eastAsia="仿宋_GB2312" w:cs="仿宋_GB2312"/>
                <w:b/>
                <w:bCs/>
                <w:color w:val="000000"/>
                <w:sz w:val="20"/>
                <w:szCs w:val="20"/>
                <w:lang w:val="en-US" w:eastAsia="zh-CN"/>
              </w:rPr>
              <w:t>二是要突出重点、形成亮点。</w:t>
            </w:r>
            <w:r>
              <w:rPr>
                <w:rFonts w:hint="default" w:ascii="仿宋_GB2312" w:hAnsi="仿宋_GB2312" w:eastAsia="仿宋_GB2312" w:cs="仿宋_GB2312"/>
                <w:b w:val="0"/>
                <w:bCs w:val="0"/>
                <w:color w:val="000000"/>
                <w:sz w:val="20"/>
                <w:szCs w:val="20"/>
                <w:lang w:val="en-US" w:eastAsia="zh-CN"/>
              </w:rPr>
              <w:t>要推动《</w:t>
            </w:r>
            <w:r>
              <w:rPr>
                <w:rFonts w:hint="eastAsia" w:ascii="仿宋_GB2312" w:hAnsi="仿宋_GB2312" w:eastAsia="仿宋_GB2312" w:cs="仿宋_GB2312"/>
                <w:b w:val="0"/>
                <w:bCs w:val="0"/>
                <w:color w:val="000000"/>
                <w:sz w:val="20"/>
                <w:szCs w:val="20"/>
                <w:lang w:val="en-US" w:eastAsia="zh-CN"/>
              </w:rPr>
              <w:t>岳阳市君山区推进既有住宅加装电梯三年行动方案(2021-2023年)</w:t>
            </w:r>
            <w:r>
              <w:rPr>
                <w:rFonts w:hint="default" w:ascii="仿宋_GB2312" w:hAnsi="仿宋_GB2312" w:eastAsia="仿宋_GB2312" w:cs="仿宋_GB2312"/>
                <w:b w:val="0"/>
                <w:bCs w:val="0"/>
                <w:color w:val="000000"/>
                <w:sz w:val="20"/>
                <w:szCs w:val="20"/>
                <w:lang w:val="en-US" w:eastAsia="zh-CN"/>
              </w:rPr>
              <w:t>》落地见效，</w:t>
            </w:r>
            <w:r>
              <w:rPr>
                <w:rFonts w:hint="eastAsia" w:ascii="仿宋_GB2312" w:hAnsi="仿宋_GB2312" w:eastAsia="仿宋_GB2312" w:cs="仿宋_GB2312"/>
                <w:b w:val="0"/>
                <w:bCs w:val="0"/>
                <w:color w:val="000000"/>
                <w:sz w:val="20"/>
                <w:szCs w:val="20"/>
                <w:lang w:val="en-US" w:eastAsia="zh-CN"/>
              </w:rPr>
              <w:t>加速推进君山垸自来水PPP项目工程，</w:t>
            </w:r>
            <w:r>
              <w:rPr>
                <w:rFonts w:hint="default" w:ascii="仿宋_GB2312" w:hAnsi="仿宋_GB2312" w:eastAsia="仿宋_GB2312" w:cs="仿宋_GB2312"/>
                <w:b w:val="0"/>
                <w:bCs w:val="0"/>
                <w:color w:val="000000"/>
                <w:sz w:val="20"/>
                <w:szCs w:val="20"/>
                <w:lang w:val="en-US" w:eastAsia="zh-CN"/>
              </w:rPr>
              <w:t>发挥领导小组办公室牵头抓总的作用，用好考核“指挥棒”，加强对街道社区的业务指导。要按照</w:t>
            </w:r>
            <w:r>
              <w:rPr>
                <w:rFonts w:hint="eastAsia" w:ascii="仿宋_GB2312" w:hAnsi="仿宋_GB2312" w:eastAsia="仿宋_GB2312" w:cs="仿宋_GB2312"/>
                <w:b w:val="0"/>
                <w:bCs w:val="0"/>
                <w:color w:val="000000"/>
                <w:sz w:val="20"/>
                <w:szCs w:val="20"/>
                <w:lang w:val="en-US" w:eastAsia="zh-CN"/>
              </w:rPr>
              <w:t>区委</w:t>
            </w:r>
            <w:r>
              <w:rPr>
                <w:rFonts w:hint="default" w:ascii="仿宋_GB2312" w:hAnsi="仿宋_GB2312" w:eastAsia="仿宋_GB2312" w:cs="仿宋_GB2312"/>
                <w:b w:val="0"/>
                <w:bCs w:val="0"/>
                <w:color w:val="000000"/>
                <w:sz w:val="20"/>
                <w:szCs w:val="20"/>
                <w:lang w:val="en-US" w:eastAsia="zh-CN"/>
              </w:rPr>
              <w:t>“</w:t>
            </w:r>
            <w:r>
              <w:rPr>
                <w:rFonts w:hint="eastAsia" w:ascii="仿宋_GB2312" w:hAnsi="仿宋_GB2312" w:eastAsia="仿宋_GB2312" w:cs="仿宋_GB2312"/>
                <w:b w:val="0"/>
                <w:bCs w:val="0"/>
                <w:color w:val="000000"/>
                <w:sz w:val="20"/>
                <w:szCs w:val="20"/>
                <w:lang w:val="en-US" w:eastAsia="zh-CN"/>
              </w:rPr>
              <w:t>一二三六</w:t>
            </w:r>
            <w:r>
              <w:rPr>
                <w:rFonts w:hint="default" w:ascii="仿宋_GB2312" w:hAnsi="仿宋_GB2312" w:eastAsia="仿宋_GB2312" w:cs="仿宋_GB2312"/>
                <w:b w:val="0"/>
                <w:bCs w:val="0"/>
                <w:color w:val="000000"/>
                <w:sz w:val="20"/>
                <w:szCs w:val="20"/>
                <w:lang w:val="en-US" w:eastAsia="zh-CN"/>
              </w:rPr>
              <w:t>”</w:t>
            </w:r>
            <w:r>
              <w:rPr>
                <w:rFonts w:hint="eastAsia" w:ascii="仿宋_GB2312" w:hAnsi="仿宋_GB2312" w:eastAsia="仿宋_GB2312" w:cs="仿宋_GB2312"/>
                <w:b w:val="0"/>
                <w:bCs w:val="0"/>
                <w:color w:val="000000"/>
                <w:sz w:val="20"/>
                <w:szCs w:val="20"/>
                <w:lang w:val="en-US" w:eastAsia="zh-CN"/>
              </w:rPr>
              <w:t>工作思路</w:t>
            </w:r>
            <w:r>
              <w:rPr>
                <w:rFonts w:hint="default" w:ascii="仿宋_GB2312" w:hAnsi="仿宋_GB2312" w:eastAsia="仿宋_GB2312" w:cs="仿宋_GB2312"/>
                <w:b w:val="0"/>
                <w:bCs w:val="0"/>
                <w:color w:val="000000"/>
                <w:sz w:val="20"/>
                <w:szCs w:val="20"/>
                <w:lang w:val="en-US" w:eastAsia="zh-CN"/>
              </w:rPr>
              <w:t>助推</w:t>
            </w:r>
            <w:r>
              <w:rPr>
                <w:rFonts w:hint="eastAsia" w:ascii="仿宋_GB2312" w:hAnsi="仿宋_GB2312" w:eastAsia="仿宋_GB2312" w:cs="仿宋_GB2312"/>
                <w:b w:val="0"/>
                <w:bCs w:val="0"/>
                <w:color w:val="000000"/>
                <w:sz w:val="20"/>
                <w:szCs w:val="20"/>
                <w:lang w:val="en-US" w:eastAsia="zh-CN"/>
              </w:rPr>
              <w:t>精致君山</w:t>
            </w:r>
            <w:r>
              <w:rPr>
                <w:rFonts w:hint="default" w:ascii="仿宋_GB2312" w:hAnsi="仿宋_GB2312" w:eastAsia="仿宋_GB2312" w:cs="仿宋_GB2312"/>
                <w:b w:val="0"/>
                <w:bCs w:val="0"/>
                <w:color w:val="000000"/>
                <w:sz w:val="20"/>
                <w:szCs w:val="20"/>
                <w:lang w:val="en-US" w:eastAsia="zh-CN"/>
              </w:rPr>
              <w:t>建设，要建设一支善学习、懂专业、勤钻研的队伍。</w:t>
            </w:r>
            <w:r>
              <w:rPr>
                <w:rFonts w:hint="default" w:ascii="仿宋_GB2312" w:hAnsi="仿宋_GB2312" w:eastAsia="仿宋_GB2312" w:cs="仿宋_GB2312"/>
                <w:b/>
                <w:bCs/>
                <w:color w:val="000000"/>
                <w:sz w:val="20"/>
                <w:szCs w:val="20"/>
                <w:lang w:val="en-US" w:eastAsia="zh-CN"/>
              </w:rPr>
              <w:t>三是要精诚团结、奋发有为。</w:t>
            </w:r>
            <w:r>
              <w:rPr>
                <w:rFonts w:hint="default" w:ascii="仿宋_GB2312" w:hAnsi="仿宋_GB2312" w:eastAsia="仿宋_GB2312" w:cs="仿宋_GB2312"/>
                <w:b w:val="0"/>
                <w:bCs w:val="0"/>
                <w:color w:val="000000"/>
                <w:sz w:val="20"/>
                <w:szCs w:val="20"/>
                <w:lang w:val="en-US" w:eastAsia="zh-CN"/>
              </w:rPr>
              <w:t>班子成员要带好队伍，要团结一心，建设一只有干劲、敢担当、讲奉献的干部队伍。</w:t>
            </w:r>
            <w:r>
              <w:rPr>
                <w:rFonts w:hint="default" w:ascii="仿宋_GB2312" w:hAnsi="仿宋_GB2312" w:eastAsia="仿宋_GB2312" w:cs="仿宋_GB2312"/>
                <w:b/>
                <w:bCs/>
                <w:color w:val="000000"/>
                <w:sz w:val="20"/>
                <w:szCs w:val="20"/>
                <w:lang w:val="en-US" w:eastAsia="zh-CN"/>
              </w:rPr>
              <w:t>四是要守住底线、优化作风。</w:t>
            </w:r>
            <w:r>
              <w:rPr>
                <w:rFonts w:hint="default" w:ascii="仿宋_GB2312" w:hAnsi="仿宋_GB2312" w:eastAsia="仿宋_GB2312" w:cs="仿宋_GB2312"/>
                <w:b w:val="0"/>
                <w:bCs w:val="0"/>
                <w:color w:val="000000"/>
                <w:sz w:val="20"/>
                <w:szCs w:val="20"/>
                <w:lang w:val="en-US" w:eastAsia="zh-CN"/>
              </w:rPr>
              <w:t>营造风清气正的干事创业的政治生态和工作环境，以更高标准、更实作风、更大作为，努力推动住建领域各项工作出新出彩，为“十四五”开好局，起好步。</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4332"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firstLine="400" w:firstLineChars="200"/>
              <w:jc w:val="both"/>
              <w:textAlignment w:val="auto"/>
              <w:rPr>
                <w:rFonts w:hint="eastAsia" w:ascii="仿宋_GB2312" w:hAnsi="仿宋_GB2312" w:eastAsia="仿宋_GB2312" w:cs="仿宋_GB2312"/>
                <w:sz w:val="20"/>
                <w:szCs w:val="20"/>
                <w:u w:val="none"/>
                <w:lang w:val="en-US" w:eastAsia="zh-CN"/>
              </w:rPr>
            </w:pPr>
            <w:r>
              <w:rPr>
                <w:rFonts w:hint="eastAsia" w:ascii="仿宋_GB2312" w:hAnsi="仿宋_GB2312" w:eastAsia="仿宋_GB2312" w:cs="仿宋_GB2312"/>
                <w:sz w:val="20"/>
                <w:szCs w:val="20"/>
                <w:u w:val="none"/>
                <w:lang w:val="en-US" w:eastAsia="zh-CN"/>
              </w:rPr>
              <w:t xml:space="preserve">今年以来，在区委区政府的坚强领导下，住建局积极处理信访系统、12345热线、市长信箱等信访案件，共计500余件，严格落实住建领域行业管理，向区城管局移交共计13条违法线索，全力推动建筑业的平稳发展。   </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240" w:lineRule="auto"/>
              <w:ind w:left="0" w:leftChars="0" w:hanging="20" w:firstLineChars="0"/>
              <w:jc w:val="both"/>
              <w:textAlignment w:val="auto"/>
              <w:rPr>
                <w:rFonts w:hint="eastAsia" w:ascii="仿宋_GB2312" w:hAnsi="仿宋_GB2312" w:eastAsia="仿宋_GB2312" w:cs="仿宋_GB2312"/>
                <w:b w:val="0"/>
                <w:bCs w:val="0"/>
                <w:color w:val="auto"/>
                <w:sz w:val="20"/>
                <w:szCs w:val="20"/>
                <w:u w:val="none"/>
                <w:lang w:val="en-US" w:eastAsia="zh-CN"/>
              </w:rPr>
            </w:pPr>
            <w:r>
              <w:rPr>
                <w:rFonts w:hint="eastAsia" w:ascii="仿宋_GB2312" w:hAnsi="仿宋_GB2312" w:eastAsia="仿宋_GB2312" w:cs="仿宋_GB2312"/>
                <w:sz w:val="20"/>
                <w:szCs w:val="20"/>
                <w:u w:val="none"/>
                <w:lang w:val="en-US" w:eastAsia="zh-CN"/>
              </w:rPr>
              <w:t>建筑市场管理强力推进。</w:t>
            </w:r>
          </w:p>
          <w:p>
            <w:pPr>
              <w:pStyle w:val="11"/>
              <w:numPr>
                <w:ilvl w:val="0"/>
                <w:numId w:val="2"/>
              </w:numPr>
              <w:ind w:left="0" w:leftChars="0" w:hanging="20" w:firstLineChars="0"/>
              <w:rPr>
                <w:rFonts w:hint="eastAsia" w:ascii="仿宋_GB2312" w:hAnsi="仿宋_GB2312" w:eastAsia="仿宋_GB2312" w:cs="仿宋_GB2312"/>
                <w:b w:val="0"/>
                <w:bCs w:val="0"/>
                <w:color w:val="auto"/>
                <w:kern w:val="0"/>
                <w:sz w:val="20"/>
                <w:szCs w:val="20"/>
                <w:u w:val="none"/>
                <w:lang w:val="en-US" w:eastAsia="zh-CN" w:bidi="ar-SA"/>
              </w:rPr>
            </w:pPr>
            <w:r>
              <w:rPr>
                <w:rFonts w:hint="eastAsia" w:ascii="仿宋_GB2312" w:hAnsi="仿宋_GB2312" w:eastAsia="仿宋_GB2312" w:cs="仿宋_GB2312"/>
                <w:b w:val="0"/>
                <w:bCs w:val="0"/>
                <w:color w:val="auto"/>
                <w:kern w:val="0"/>
                <w:sz w:val="20"/>
                <w:szCs w:val="20"/>
                <w:u w:val="none"/>
                <w:lang w:val="en-US" w:eastAsia="zh-CN" w:bidi="ar-SA"/>
              </w:rPr>
              <w:t>民生工程迅速推进。</w:t>
            </w:r>
          </w:p>
          <w:p>
            <w:pPr>
              <w:pStyle w:val="11"/>
              <w:numPr>
                <w:ilvl w:val="0"/>
                <w:numId w:val="2"/>
              </w:numPr>
              <w:ind w:left="0" w:leftChars="0" w:hanging="20" w:firstLineChars="0"/>
              <w:rPr>
                <w:rFonts w:hint="eastAsia" w:ascii="仿宋_GB2312" w:hAnsi="仿宋_GB2312" w:eastAsia="仿宋_GB2312" w:cs="仿宋_GB2312"/>
                <w:color w:val="auto"/>
                <w:kern w:val="0"/>
                <w:sz w:val="20"/>
                <w:szCs w:val="20"/>
                <w:u w:val="none"/>
                <w:lang w:val="en-US" w:eastAsia="zh-CN" w:bidi="ar-SA"/>
              </w:rPr>
            </w:pPr>
            <w:r>
              <w:rPr>
                <w:rFonts w:hint="eastAsia" w:ascii="仿宋_GB2312" w:hAnsi="仿宋_GB2312" w:eastAsia="仿宋_GB2312" w:cs="仿宋_GB2312"/>
                <w:b w:val="0"/>
                <w:bCs w:val="0"/>
                <w:color w:val="auto"/>
                <w:kern w:val="0"/>
                <w:sz w:val="20"/>
                <w:szCs w:val="20"/>
                <w:u w:val="none"/>
                <w:lang w:val="en-US" w:eastAsia="zh-CN" w:bidi="ar-SA"/>
              </w:rPr>
              <w:t>住房</w:t>
            </w:r>
            <w:r>
              <w:rPr>
                <w:rFonts w:hint="eastAsia" w:ascii="仿宋_GB2312" w:hAnsi="仿宋_GB2312" w:eastAsia="仿宋_GB2312" w:cs="仿宋_GB2312"/>
                <w:color w:val="auto"/>
                <w:kern w:val="0"/>
                <w:sz w:val="20"/>
                <w:szCs w:val="20"/>
                <w:u w:val="none"/>
                <w:lang w:val="en-US" w:eastAsia="zh-CN" w:bidi="ar-SA"/>
              </w:rPr>
              <w:t>保障和房地产市场维稳维保。</w:t>
            </w:r>
          </w:p>
          <w:p>
            <w:pPr>
              <w:pStyle w:val="11"/>
              <w:numPr>
                <w:ilvl w:val="0"/>
                <w:numId w:val="2"/>
              </w:numPr>
              <w:ind w:left="0" w:leftChars="0" w:hanging="20" w:firstLineChars="0"/>
              <w:rPr>
                <w:rFonts w:hint="eastAsia" w:ascii="仿宋_GB2312" w:hAnsi="仿宋_GB2312" w:eastAsia="仿宋_GB2312" w:cs="仿宋_GB2312"/>
                <w:color w:val="auto"/>
                <w:kern w:val="0"/>
                <w:sz w:val="20"/>
                <w:szCs w:val="20"/>
                <w:u w:val="none"/>
                <w:lang w:val="en-US" w:eastAsia="zh-CN" w:bidi="ar-SA"/>
              </w:rPr>
            </w:pPr>
            <w:r>
              <w:rPr>
                <w:rFonts w:hint="eastAsia" w:ascii="仿宋_GB2312" w:hAnsi="仿宋_GB2312" w:eastAsia="仿宋_GB2312" w:cs="仿宋_GB2312"/>
                <w:color w:val="auto"/>
                <w:kern w:val="0"/>
                <w:sz w:val="20"/>
                <w:szCs w:val="20"/>
                <w:u w:val="none"/>
                <w:lang w:val="en-US" w:eastAsia="zh-CN" w:bidi="ar-SA"/>
              </w:rPr>
              <w:t>深入开展居民自建房安全专项整治。</w:t>
            </w:r>
          </w:p>
          <w:p>
            <w:pPr>
              <w:pStyle w:val="11"/>
              <w:numPr>
                <w:ilvl w:val="0"/>
                <w:numId w:val="2"/>
              </w:numPr>
              <w:ind w:left="0" w:leftChars="0" w:hanging="20" w:firstLineChars="0"/>
              <w:rPr>
                <w:rFonts w:hint="eastAsia" w:ascii="仿宋_GB2312" w:hAnsi="仿宋_GB2312" w:eastAsia="仿宋_GB2312" w:cs="仿宋_GB2312"/>
                <w:color w:val="auto"/>
                <w:kern w:val="0"/>
                <w:sz w:val="20"/>
                <w:szCs w:val="20"/>
                <w:u w:val="none"/>
                <w:lang w:val="en-US" w:eastAsia="zh-CN" w:bidi="ar-SA"/>
              </w:rPr>
            </w:pPr>
            <w:r>
              <w:rPr>
                <w:rFonts w:hint="eastAsia" w:ascii="仿宋_GB2312" w:hAnsi="仿宋_GB2312" w:eastAsia="仿宋_GB2312" w:cs="仿宋_GB2312"/>
                <w:color w:val="auto"/>
                <w:kern w:val="0"/>
                <w:sz w:val="20"/>
                <w:szCs w:val="20"/>
                <w:u w:val="none"/>
                <w:lang w:val="en-US" w:eastAsia="zh-CN" w:bidi="ar-SA"/>
              </w:rPr>
              <w:t>加强全区建筑质量安全管理。</w:t>
            </w:r>
          </w:p>
          <w:p>
            <w:pPr>
              <w:pStyle w:val="11"/>
              <w:numPr>
                <w:ilvl w:val="0"/>
                <w:numId w:val="2"/>
              </w:numPr>
              <w:ind w:left="0" w:leftChars="0" w:hanging="20" w:firstLineChars="0"/>
              <w:rPr>
                <w:rFonts w:hint="eastAsia" w:ascii="仿宋_GB2312" w:hAnsi="仿宋_GB2312" w:eastAsia="仿宋_GB2312" w:cs="仿宋_GB2312"/>
                <w:color w:val="auto"/>
                <w:kern w:val="0"/>
                <w:sz w:val="20"/>
                <w:szCs w:val="20"/>
                <w:u w:val="none"/>
                <w:lang w:val="en-US" w:eastAsia="zh-CN" w:bidi="ar-SA"/>
              </w:rPr>
            </w:pPr>
            <w:r>
              <w:rPr>
                <w:rFonts w:hint="eastAsia" w:ascii="仿宋_GB2312" w:hAnsi="仿宋_GB2312" w:eastAsia="仿宋_GB2312" w:cs="仿宋_GB2312"/>
                <w:color w:val="auto"/>
                <w:kern w:val="0"/>
                <w:sz w:val="20"/>
                <w:szCs w:val="20"/>
                <w:u w:val="none"/>
                <w:lang w:val="en-US" w:eastAsia="zh-CN" w:bidi="ar-SA"/>
              </w:rPr>
              <w:t>全面深化环保整治专项工作。</w:t>
            </w:r>
          </w:p>
          <w:p>
            <w:pPr>
              <w:widowControl/>
              <w:tabs>
                <w:tab w:val="left" w:pos="825"/>
              </w:tabs>
              <w:spacing w:line="240" w:lineRule="exact"/>
              <w:jc w:val="left"/>
              <w:rPr>
                <w:rFonts w:hint="eastAsia" w:ascii="仿宋_GB2312" w:hAnsi="仿宋_GB2312" w:eastAsia="仿宋_GB2312" w:cs="仿宋_GB2312"/>
                <w:color w:val="000000"/>
                <w:sz w:val="20"/>
                <w:szCs w:val="20"/>
                <w:highlight w:val="none"/>
                <w:lang w:eastAsia="zh-CN"/>
              </w:rPr>
            </w:pPr>
          </w:p>
        </w:tc>
      </w:tr>
      <w:tr>
        <w:tblPrEx>
          <w:tblCellMar>
            <w:top w:w="0" w:type="dxa"/>
            <w:left w:w="108" w:type="dxa"/>
            <w:bottom w:w="0" w:type="dxa"/>
            <w:right w:w="108" w:type="dxa"/>
          </w:tblCellMar>
        </w:tblPrEx>
        <w:trPr>
          <w:jc w:val="center"/>
        </w:trPr>
        <w:tc>
          <w:tcPr>
            <w:tcW w:w="1074" w:type="dxa"/>
            <w:vMerge w:val="restart"/>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绩</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标</w:t>
            </w:r>
          </w:p>
          <w:p>
            <w:pPr>
              <w:widowControl/>
              <w:spacing w:line="240" w:lineRule="exact"/>
              <w:jc w:val="center"/>
              <w:rPr>
                <w:rFonts w:hint="eastAsia" w:ascii="仿宋_GB2312" w:hAnsi="仿宋_GB2312" w:eastAsia="仿宋_GB2312" w:cs="仿宋_GB2312"/>
                <w:color w:val="000000"/>
                <w:sz w:val="20"/>
                <w:szCs w:val="20"/>
                <w:highlight w:val="none"/>
              </w:rPr>
            </w:pPr>
          </w:p>
        </w:tc>
        <w:tc>
          <w:tcPr>
            <w:tcW w:w="1074"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一级指标</w:t>
            </w:r>
          </w:p>
        </w:tc>
        <w:tc>
          <w:tcPr>
            <w:tcW w:w="1027"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二级指标</w:t>
            </w: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三级指标</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both"/>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年度指标值</w:t>
            </w:r>
          </w:p>
        </w:tc>
        <w:tc>
          <w:tcPr>
            <w:tcW w:w="1265" w:type="dxa"/>
            <w:tcBorders>
              <w:top w:val="nil"/>
              <w:left w:val="nil"/>
              <w:bottom w:val="single" w:color="auto" w:sz="4" w:space="0"/>
              <w:right w:val="single" w:color="auto" w:sz="4" w:space="0"/>
            </w:tcBorders>
            <w:noWrap w:val="0"/>
            <w:vAlign w:val="center"/>
          </w:tcPr>
          <w:p>
            <w:pPr>
              <w:widowControl/>
              <w:spacing w:line="240" w:lineRule="exac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实际完成值</w:t>
            </w:r>
          </w:p>
        </w:tc>
        <w:tc>
          <w:tcPr>
            <w:tcW w:w="715"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分值</w:t>
            </w:r>
          </w:p>
        </w:tc>
        <w:tc>
          <w:tcPr>
            <w:tcW w:w="9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得分</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both"/>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偏差原因分析及改进措施</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restart"/>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产出指标</w:t>
            </w:r>
          </w:p>
          <w:p>
            <w:pPr>
              <w:widowControl/>
              <w:spacing w:line="240" w:lineRule="exact"/>
              <w:jc w:val="center"/>
              <w:rPr>
                <w:rFonts w:hint="eastAsia" w:ascii="仿宋_GB2312" w:hAnsi="仿宋_GB2312" w:eastAsia="仿宋_GB2312" w:cs="仿宋_GB2312"/>
                <w:color w:val="000000"/>
                <w:sz w:val="20"/>
                <w:szCs w:val="20"/>
                <w:highlight w:val="none"/>
              </w:rPr>
            </w:pP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(50分)</w:t>
            </w:r>
          </w:p>
        </w:tc>
        <w:tc>
          <w:tcPr>
            <w:tcW w:w="1027" w:type="dxa"/>
            <w:vMerge w:val="restart"/>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数量指标</w:t>
            </w:r>
          </w:p>
        </w:tc>
        <w:tc>
          <w:tcPr>
            <w:tcW w:w="126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实施老旧小区改造项目</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15个</w:t>
            </w:r>
          </w:p>
          <w:p>
            <w:pPr>
              <w:pStyle w:val="11"/>
              <w:rPr>
                <w:rFonts w:hint="default"/>
                <w:lang w:val="en-US" w:eastAsia="zh-CN"/>
              </w:rPr>
            </w:pP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15个</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right w:val="single" w:color="auto" w:sz="4" w:space="0"/>
            </w:tcBorders>
            <w:noWrap w:val="0"/>
            <w:vAlign w:val="center"/>
          </w:tcPr>
          <w:p>
            <w:pPr>
              <w:spacing w:line="240" w:lineRule="exact"/>
              <w:jc w:val="center"/>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城乡污水管网建设</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5.4公里</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7.4公里</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restart"/>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质量指标</w:t>
            </w: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住房保障和房地产市场维稳维保</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有所提高</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提高</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right w:val="single" w:color="auto" w:sz="4" w:space="0"/>
            </w:tcBorders>
            <w:noWrap w:val="0"/>
            <w:vAlign w:val="center"/>
          </w:tcPr>
          <w:p>
            <w:pPr>
              <w:spacing w:line="240" w:lineRule="exact"/>
              <w:jc w:val="center"/>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加强全区建筑质量安全管理</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有所加强</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加强</w:t>
            </w:r>
          </w:p>
        </w:tc>
        <w:tc>
          <w:tcPr>
            <w:tcW w:w="715" w:type="dxa"/>
            <w:tcBorders>
              <w:top w:val="nil"/>
              <w:left w:val="nil"/>
              <w:bottom w:val="single" w:color="auto" w:sz="4" w:space="0"/>
              <w:right w:val="single" w:color="auto" w:sz="4" w:space="0"/>
            </w:tcBorders>
            <w:noWrap w:val="0"/>
            <w:vAlign w:val="center"/>
          </w:tcPr>
          <w:p>
            <w:pPr>
              <w:widowControl/>
              <w:spacing w:line="240" w:lineRule="exact"/>
              <w:ind w:firstLine="200" w:firstLineChars="100"/>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restart"/>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时效指标</w:t>
            </w: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按时完成全年计划工作</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按时完成</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按时完成</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right w:val="single" w:color="auto" w:sz="4" w:space="0"/>
            </w:tcBorders>
            <w:noWrap w:val="0"/>
            <w:vAlign w:val="center"/>
          </w:tcPr>
          <w:p>
            <w:pPr>
              <w:spacing w:line="240" w:lineRule="exact"/>
              <w:jc w:val="center"/>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施工图审及时率</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100%</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100%</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restart"/>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成本指标</w:t>
            </w: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财政资金支出</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＜5480.54万</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7290.83</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3</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原因：新增老旧小区前期费用、居民自建房安全整治工作经费及烟囱爆破经费等，导致超出预算。措施：部门之间保持沟通，确保将新增项目纳入预算管理。</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restart"/>
            <w:tcBorders>
              <w:top w:val="nil"/>
              <w:left w:val="nil"/>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效益指标</w:t>
            </w:r>
          </w:p>
          <w:p>
            <w:pPr>
              <w:widowControl/>
              <w:spacing w:line="240" w:lineRule="exact"/>
              <w:jc w:val="left"/>
              <w:rPr>
                <w:rFonts w:hint="eastAsia" w:ascii="仿宋_GB2312" w:hAnsi="仿宋_GB2312" w:eastAsia="仿宋_GB2312" w:cs="仿宋_GB2312"/>
                <w:color w:val="000000"/>
                <w:sz w:val="20"/>
                <w:szCs w:val="20"/>
                <w:highlight w:val="none"/>
              </w:rPr>
            </w:pPr>
          </w:p>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（30分）</w:t>
            </w:r>
          </w:p>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027" w:type="dxa"/>
            <w:vMerge w:val="restart"/>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经济效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推动经济发展</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推动</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推动</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right w:val="single" w:color="auto" w:sz="4" w:space="0"/>
            </w:tcBorders>
            <w:noWrap w:val="0"/>
            <w:vAlign w:val="center"/>
          </w:tcPr>
          <w:p>
            <w:pPr>
              <w:spacing w:line="240" w:lineRule="exact"/>
              <w:jc w:val="center"/>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助推建筑企业提质增效</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提高</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提高</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restart"/>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社会效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推进君山垸城乡供水一体化PPP项目</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100%</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100%</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right w:val="single" w:color="auto" w:sz="4" w:space="0"/>
            </w:tcBorders>
            <w:noWrap w:val="0"/>
            <w:vAlign w:val="center"/>
          </w:tcPr>
          <w:p>
            <w:pPr>
              <w:spacing w:line="240" w:lineRule="exact"/>
              <w:jc w:val="center"/>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提升人民群众生活用水环境</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提升</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提升</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持续推进建筑市场管理</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持续</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持续</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restart"/>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生态效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强化</w:t>
            </w:r>
            <w:r>
              <w:rPr>
                <w:rFonts w:hint="eastAsia" w:ascii="仿宋_GB2312" w:hAnsi="仿宋_GB2312" w:eastAsia="仿宋_GB2312" w:cs="仿宋_GB2312"/>
                <w:color w:val="000000"/>
                <w:sz w:val="20"/>
                <w:szCs w:val="20"/>
                <w:highlight w:val="none"/>
              </w:rPr>
              <w:t>水环境保护和大气污染防治</w:t>
            </w:r>
            <w:r>
              <w:rPr>
                <w:rFonts w:hint="eastAsia" w:ascii="仿宋_GB2312" w:hAnsi="仿宋_GB2312" w:eastAsia="仿宋_GB2312" w:cs="仿宋_GB2312"/>
                <w:color w:val="000000"/>
                <w:sz w:val="20"/>
                <w:szCs w:val="20"/>
                <w:highlight w:val="none"/>
                <w:lang w:val="en-US" w:eastAsia="zh-CN"/>
              </w:rPr>
              <w:t>管理</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加强</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加强</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74"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290" w:hRule="atLeast"/>
          <w:jc w:val="center"/>
        </w:trPr>
        <w:tc>
          <w:tcPr>
            <w:tcW w:w="1074" w:type="dxa"/>
            <w:vMerge w:val="continue"/>
            <w:tcBorders>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1027" w:type="dxa"/>
            <w:vMerge w:val="restart"/>
            <w:tcBorders>
              <w:top w:val="single" w:color="auto" w:sz="4" w:space="0"/>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可持续影响指标</w:t>
            </w:r>
          </w:p>
        </w:tc>
        <w:tc>
          <w:tcPr>
            <w:tcW w:w="126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加强监管水平</w:t>
            </w:r>
          </w:p>
        </w:tc>
        <w:tc>
          <w:tcPr>
            <w:tcW w:w="130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加强</w:t>
            </w:r>
          </w:p>
        </w:tc>
        <w:tc>
          <w:tcPr>
            <w:tcW w:w="126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加强</w:t>
            </w:r>
          </w:p>
        </w:tc>
        <w:tc>
          <w:tcPr>
            <w:tcW w:w="71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91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143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270" w:hRule="atLeast"/>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26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306"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5"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5"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6"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36"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270" w:hRule="atLeast"/>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330" w:hRule="atLeast"/>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restart"/>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满意度</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（10分）</w:t>
            </w:r>
          </w:p>
        </w:tc>
        <w:tc>
          <w:tcPr>
            <w:tcW w:w="1027" w:type="dxa"/>
            <w:vMerge w:val="restart"/>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服务对象满意度指标</w:t>
            </w: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人民群众满意度</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≥95%</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95%</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270" w:hRule="atLeast"/>
          <w:jc w:val="center"/>
        </w:trPr>
        <w:tc>
          <w:tcPr>
            <w:tcW w:w="1074"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270" w:hRule="atLeast"/>
          <w:jc w:val="center"/>
        </w:trPr>
        <w:tc>
          <w:tcPr>
            <w:tcW w:w="1074" w:type="dxa"/>
            <w:vMerge w:val="continue"/>
            <w:tcBorders>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1074" w:type="dxa"/>
            <w:vMerge w:val="continue"/>
            <w:tcBorders>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1027" w:type="dxa"/>
            <w:vMerge w:val="continue"/>
            <w:tcBorders>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126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30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5"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270" w:hRule="atLeast"/>
          <w:jc w:val="center"/>
        </w:trPr>
        <w:tc>
          <w:tcPr>
            <w:tcW w:w="7012" w:type="dxa"/>
            <w:gridSpan w:val="6"/>
            <w:tcBorders>
              <w:top w:val="single" w:color="auto" w:sz="4" w:space="0"/>
              <w:left w:val="single" w:color="auto" w:sz="4" w:space="0"/>
              <w:bottom w:val="single" w:color="auto" w:sz="4" w:space="0"/>
              <w:right w:val="single" w:color="000000"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总分</w:t>
            </w:r>
          </w:p>
        </w:tc>
        <w:tc>
          <w:tcPr>
            <w:tcW w:w="715"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100</w:t>
            </w:r>
          </w:p>
        </w:tc>
        <w:tc>
          <w:tcPr>
            <w:tcW w:w="91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98</w:t>
            </w:r>
          </w:p>
        </w:tc>
        <w:tc>
          <w:tcPr>
            <w:tcW w:w="143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eastAsia="zh-CN"/>
              </w:rPr>
            </w:pPr>
          </w:p>
        </w:tc>
      </w:tr>
    </w:tbl>
    <w:p>
      <w:pPr>
        <w:widowControl/>
        <w:spacing w:line="600" w:lineRule="exact"/>
        <w:jc w:val="left"/>
        <w:rPr>
          <w:rFonts w:hint="eastAsia" w:ascii="Times New Roman" w:hAnsi="Times New Roman" w:eastAsia="黑体" w:cs="Times New Roman"/>
          <w:sz w:val="32"/>
          <w:szCs w:val="32"/>
          <w:highlight w:val="none"/>
          <w:lang w:eastAsia="zh-CN"/>
        </w:rPr>
      </w:pPr>
      <w:r>
        <w:rPr>
          <w:rFonts w:hint="default" w:ascii="Times New Roman" w:hAnsi="Times New Roman" w:eastAsia="仿宋_GB2312" w:cs="Times New Roman"/>
          <w:sz w:val="22"/>
          <w:szCs w:val="22"/>
          <w:highlight w:val="none"/>
        </w:rPr>
        <w:t>填表人：</w:t>
      </w:r>
      <w:r>
        <w:rPr>
          <w:rFonts w:hint="eastAsia" w:ascii="Times New Roman" w:hAnsi="Times New Roman" w:eastAsia="仿宋_GB2312" w:cs="Times New Roman"/>
          <w:sz w:val="22"/>
          <w:szCs w:val="22"/>
          <w:highlight w:val="none"/>
          <w:lang w:val="en-US" w:eastAsia="zh-CN"/>
        </w:rPr>
        <w:t>欧阳雪洁</w:t>
      </w:r>
      <w:r>
        <w:rPr>
          <w:rFonts w:hint="default" w:ascii="Times New Roman" w:hAnsi="Times New Roman" w:eastAsia="仿宋_GB2312" w:cs="Times New Roman"/>
          <w:sz w:val="22"/>
          <w:szCs w:val="22"/>
          <w:highlight w:val="none"/>
        </w:rPr>
        <w:t xml:space="preserve">      填报日期：</w:t>
      </w:r>
      <w:r>
        <w:rPr>
          <w:rFonts w:hint="eastAsia" w:ascii="Times New Roman" w:hAnsi="Times New Roman" w:eastAsia="仿宋_GB2312" w:cs="Times New Roman"/>
          <w:sz w:val="22"/>
          <w:szCs w:val="22"/>
          <w:highlight w:val="none"/>
          <w:lang w:val="en-US" w:eastAsia="zh-CN"/>
        </w:rPr>
        <w:t>2024年6月25日</w:t>
      </w:r>
      <w:r>
        <w:rPr>
          <w:rFonts w:hint="default" w:ascii="Times New Roman" w:hAnsi="Times New Roman" w:eastAsia="仿宋_GB2312" w:cs="Times New Roman"/>
          <w:sz w:val="22"/>
          <w:szCs w:val="22"/>
          <w:highlight w:val="none"/>
        </w:rPr>
        <w:t xml:space="preserve">         联系电话： </w:t>
      </w:r>
      <w:r>
        <w:rPr>
          <w:rFonts w:hint="eastAsia" w:ascii="Times New Roman" w:hAnsi="Times New Roman" w:eastAsia="仿宋_GB2312" w:cs="Times New Roman"/>
          <w:sz w:val="22"/>
          <w:szCs w:val="22"/>
          <w:highlight w:val="none"/>
          <w:lang w:val="en-US" w:eastAsia="zh-CN"/>
        </w:rPr>
        <w:t>17673161025</w:t>
      </w:r>
      <w:r>
        <w:rPr>
          <w:rFonts w:hint="default" w:ascii="Times New Roman" w:hAnsi="Times New Roman" w:eastAsia="仿宋_GB2312" w:cs="Times New Roman"/>
          <w:sz w:val="22"/>
          <w:szCs w:val="22"/>
          <w:highlight w:val="none"/>
        </w:rPr>
        <w:t xml:space="preserve">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单位负责人签字：</w:t>
      </w:r>
      <w:r>
        <w:rPr>
          <w:rFonts w:hint="default" w:ascii="Times New Roman" w:hAnsi="Times New Roman" w:eastAsia="仿宋_GB2312" w:cs="Times New Roman"/>
          <w:sz w:val="22"/>
          <w:szCs w:val="22"/>
          <w:highlight w:val="none"/>
        </w:rPr>
        <w:br w:type="page"/>
      </w: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3</w:t>
      </w:r>
    </w:p>
    <w:p>
      <w:pPr>
        <w:widowControl/>
        <w:spacing w:line="600" w:lineRule="exact"/>
        <w:jc w:val="center"/>
        <w:rPr>
          <w:rFonts w:hint="eastAsia" w:ascii="方正小标宋简体" w:hAnsi="方正小标宋简体" w:eastAsia="方正小标宋简体" w:cs="方正小标宋简体"/>
          <w:color w:val="000000"/>
          <w:sz w:val="36"/>
          <w:szCs w:val="36"/>
          <w:highlight w:val="none"/>
        </w:rPr>
      </w:pPr>
      <w:r>
        <w:rPr>
          <w:rFonts w:hint="eastAsia" w:ascii="方正小标宋简体" w:hAnsi="方正小标宋简体" w:eastAsia="方正小标宋简体" w:cs="方正小标宋简体"/>
          <w:color w:val="000000"/>
          <w:sz w:val="36"/>
          <w:szCs w:val="36"/>
          <w:highlight w:val="none"/>
        </w:rPr>
        <w:t>202</w:t>
      </w:r>
      <w:r>
        <w:rPr>
          <w:rFonts w:hint="eastAsia" w:ascii="方正小标宋简体" w:hAnsi="方正小标宋简体" w:eastAsia="方正小标宋简体" w:cs="方正小标宋简体"/>
          <w:color w:val="000000"/>
          <w:sz w:val="36"/>
          <w:szCs w:val="36"/>
          <w:highlight w:val="none"/>
          <w:lang w:val="en-US" w:eastAsia="zh-CN"/>
        </w:rPr>
        <w:t>3</w:t>
      </w:r>
      <w:r>
        <w:rPr>
          <w:rFonts w:hint="eastAsia" w:ascii="方正小标宋简体" w:hAnsi="方正小标宋简体" w:eastAsia="方正小标宋简体" w:cs="方正小标宋简体"/>
          <w:color w:val="000000"/>
          <w:sz w:val="36"/>
          <w:szCs w:val="36"/>
          <w:highlight w:val="none"/>
        </w:rPr>
        <w:t>年度项目支出绩效自评表</w:t>
      </w:r>
    </w:p>
    <w:tbl>
      <w:tblPr>
        <w:tblStyle w:val="7"/>
        <w:tblW w:w="9851" w:type="dxa"/>
        <w:jc w:val="center"/>
        <w:tblLayout w:type="autofit"/>
        <w:tblCellMar>
          <w:top w:w="0" w:type="dxa"/>
          <w:left w:w="108" w:type="dxa"/>
          <w:bottom w:w="0" w:type="dxa"/>
          <w:right w:w="108" w:type="dxa"/>
        </w:tblCellMar>
      </w:tblPr>
      <w:tblGrid>
        <w:gridCol w:w="1080"/>
        <w:gridCol w:w="1080"/>
        <w:gridCol w:w="1080"/>
        <w:gridCol w:w="1224"/>
        <w:gridCol w:w="1134"/>
        <w:gridCol w:w="1134"/>
        <w:gridCol w:w="828"/>
        <w:gridCol w:w="873"/>
        <w:gridCol w:w="1418"/>
      </w:tblGrid>
      <w:tr>
        <w:tblPrEx>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项目支</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出名称</w:t>
            </w:r>
          </w:p>
        </w:tc>
        <w:tc>
          <w:tcPr>
            <w:tcW w:w="8771" w:type="dxa"/>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主管部门</w:t>
            </w:r>
          </w:p>
        </w:tc>
        <w:tc>
          <w:tcPr>
            <w:tcW w:w="4518"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实施单位</w:t>
            </w:r>
          </w:p>
        </w:tc>
        <w:tc>
          <w:tcPr>
            <w:tcW w:w="3119"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项目资金</w:t>
            </w:r>
            <w:r>
              <w:rPr>
                <w:rFonts w:hint="eastAsia" w:ascii="仿宋_GB2312" w:hAnsi="仿宋_GB2312" w:eastAsia="仿宋_GB2312" w:cs="仿宋_GB2312"/>
                <w:color w:val="000000"/>
                <w:sz w:val="20"/>
                <w:szCs w:val="20"/>
                <w:highlight w:val="none"/>
              </w:rPr>
              <w:br w:type="textWrapping"/>
            </w:r>
            <w:r>
              <w:rPr>
                <w:rFonts w:hint="eastAsia" w:ascii="仿宋_GB2312" w:hAnsi="仿宋_GB2312" w:eastAsia="仿宋_GB2312" w:cs="仿宋_GB2312"/>
                <w:color w:val="000000"/>
                <w:sz w:val="20"/>
                <w:szCs w:val="20"/>
                <w:highlight w:val="none"/>
              </w:rPr>
              <w:t>（万元）</w:t>
            </w: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年初</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预算数</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全年</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预算数</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执行数</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分值</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执行率</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得分</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年度资金总额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其中：当年财政拨款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00" w:firstLineChars="300"/>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上年结转资金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00" w:firstLineChars="300"/>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其他资金</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年度总体目标</w:t>
            </w:r>
          </w:p>
        </w:tc>
        <w:tc>
          <w:tcPr>
            <w:tcW w:w="4518" w:type="dxa"/>
            <w:gridSpan w:val="4"/>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预期目标</w:t>
            </w:r>
          </w:p>
        </w:tc>
        <w:tc>
          <w:tcPr>
            <w:tcW w:w="4253"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实际完成情况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4518" w:type="dxa"/>
            <w:gridSpan w:val="4"/>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4253"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绩</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标</w:t>
            </w:r>
          </w:p>
        </w:tc>
        <w:tc>
          <w:tcPr>
            <w:tcW w:w="10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一级指标</w:t>
            </w:r>
          </w:p>
        </w:tc>
        <w:tc>
          <w:tcPr>
            <w:tcW w:w="10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二级指标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三级指标</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指标值</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完成值</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分值</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得分</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偏差原因分析及改进措施</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产出指标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(50分)</w:t>
            </w: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数量指标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质量指标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时效指标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成本指标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效益指标</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（30分）</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经济效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社会效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生态效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可持续影响指标</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满意度</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（10分）</w:t>
            </w: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服务对象满意度指标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6732" w:type="dxa"/>
            <w:gridSpan w:val="6"/>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总分</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bl>
    <w:p>
      <w:pPr>
        <w:rPr>
          <w:rFonts w:hint="default" w:ascii="Times New Roman" w:hAnsi="Times New Roman" w:eastAsia="仿宋_GB2312" w:cs="Times New Roman"/>
          <w:sz w:val="18"/>
          <w:szCs w:val="18"/>
          <w:highlight w:val="none"/>
        </w:rPr>
      </w:pPr>
    </w:p>
    <w:p>
      <w:pPr>
        <w:rPr>
          <w:rFonts w:hint="default" w:ascii="Times New Roman" w:hAnsi="Times New Roman" w:eastAsia="仿宋_GB2312" w:cs="Times New Roman"/>
          <w:szCs w:val="21"/>
          <w:highlight w:val="none"/>
        </w:rPr>
      </w:pPr>
      <w:r>
        <w:rPr>
          <w:rFonts w:hint="default" w:ascii="Times New Roman" w:hAnsi="Times New Roman" w:eastAsia="仿宋_GB2312" w:cs="Times New Roman"/>
          <w:sz w:val="18"/>
          <w:szCs w:val="18"/>
          <w:highlight w:val="none"/>
        </w:rPr>
        <w:t>备注：一个一级项目支出一张表。</w:t>
      </w:r>
      <w:r>
        <w:rPr>
          <w:rFonts w:hint="eastAsia" w:ascii="Times New Roman" w:hAnsi="Times New Roman" w:eastAsia="仿宋_GB2312" w:cs="Times New Roman"/>
          <w:sz w:val="18"/>
          <w:szCs w:val="18"/>
          <w:highlight w:val="none"/>
          <w:lang w:eastAsia="zh-CN"/>
        </w:rPr>
        <w:t>如，</w:t>
      </w:r>
      <w:r>
        <w:rPr>
          <w:rFonts w:hint="default" w:ascii="Times New Roman" w:hAnsi="Times New Roman" w:eastAsia="仿宋_GB2312" w:cs="Times New Roman"/>
          <w:sz w:val="18"/>
          <w:szCs w:val="18"/>
          <w:highlight w:val="none"/>
        </w:rPr>
        <w:t>业务工作经费</w:t>
      </w:r>
      <w:r>
        <w:rPr>
          <w:rFonts w:hint="eastAsia" w:ascii="Times New Roman" w:hAnsi="Times New Roman" w:eastAsia="仿宋_GB2312" w:cs="Times New Roman"/>
          <w:sz w:val="18"/>
          <w:szCs w:val="18"/>
          <w:highlight w:val="none"/>
          <w:lang w:eastAsia="zh-CN"/>
        </w:rPr>
        <w:t>，</w:t>
      </w:r>
      <w:r>
        <w:rPr>
          <w:rFonts w:hint="default" w:ascii="Times New Roman" w:hAnsi="Times New Roman" w:eastAsia="仿宋_GB2312" w:cs="Times New Roman"/>
          <w:sz w:val="18"/>
          <w:szCs w:val="18"/>
          <w:highlight w:val="none"/>
        </w:rPr>
        <w:t>运行维护经费</w:t>
      </w:r>
      <w:r>
        <w:rPr>
          <w:rFonts w:hint="eastAsia" w:ascii="Times New Roman" w:hAnsi="Times New Roman" w:eastAsia="仿宋_GB2312" w:cs="Times New Roman"/>
          <w:sz w:val="18"/>
          <w:szCs w:val="18"/>
          <w:highlight w:val="none"/>
          <w:lang w:eastAsia="zh-CN"/>
        </w:rPr>
        <w:t>，其他事业发展类资金…各一张表。</w:t>
      </w:r>
    </w:p>
    <w:p>
      <w:pPr>
        <w:rPr>
          <w:rFonts w:hint="eastAsia" w:ascii="黑体" w:hAnsi="黑体" w:eastAsia="黑体" w:cs="黑体"/>
          <w:sz w:val="32"/>
          <w:szCs w:val="32"/>
          <w:highlight w:val="none"/>
          <w:lang w:val="en-US" w:eastAsia="zh-CN"/>
        </w:rPr>
      </w:pPr>
      <w:r>
        <w:rPr>
          <w:rFonts w:hint="default" w:ascii="Times New Roman" w:hAnsi="Times New Roman" w:eastAsia="仿宋_GB2312" w:cs="Times New Roman"/>
          <w:sz w:val="22"/>
          <w:szCs w:val="22"/>
          <w:highlight w:val="none"/>
        </w:rPr>
        <w:t xml:space="preserve">填表人：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填报日期：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联系电话：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 单位负责人签字：</w:t>
      </w:r>
      <w:r>
        <w:rPr>
          <w:rFonts w:hint="default" w:ascii="Times New Roman" w:hAnsi="Times New Roman" w:eastAsia="仿宋_GB2312" w:cs="Times New Roman"/>
          <w:sz w:val="22"/>
          <w:szCs w:val="22"/>
          <w:highlight w:val="none"/>
        </w:rPr>
        <w:br w:type="page"/>
      </w: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4</w:t>
      </w:r>
    </w:p>
    <w:p>
      <w:pPr>
        <w:jc w:val="center"/>
        <w:rPr>
          <w:rFonts w:hint="default" w:ascii="Times New Roman" w:hAnsi="Times New Roman" w:eastAsia="方正小标宋_GBK" w:cs="Times New Roman"/>
          <w:sz w:val="52"/>
          <w:szCs w:val="52"/>
          <w:highlight w:val="none"/>
        </w:rPr>
      </w:pPr>
    </w:p>
    <w:p>
      <w:pPr>
        <w:jc w:val="center"/>
        <w:rPr>
          <w:rFonts w:hint="eastAsia" w:ascii="方正小标宋简体" w:hAnsi="方正小标宋简体" w:eastAsia="方正小标宋简体" w:cs="方正小标宋简体"/>
          <w:sz w:val="44"/>
          <w:szCs w:val="44"/>
          <w:highlight w:val="none"/>
        </w:rPr>
      </w:pPr>
      <w:bookmarkStart w:id="0" w:name="_GoBack"/>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年度</w:t>
      </w:r>
      <w:r>
        <w:rPr>
          <w:rFonts w:hint="eastAsia" w:ascii="方正小标宋简体" w:hAnsi="方正小标宋简体" w:eastAsia="方正小标宋简体" w:cs="方正小标宋简体"/>
          <w:sz w:val="44"/>
          <w:szCs w:val="44"/>
          <w:highlight w:val="none"/>
          <w:lang w:val="en-US" w:eastAsia="zh-CN"/>
        </w:rPr>
        <w:t>君山区住房和城乡建设局</w:t>
      </w:r>
      <w:r>
        <w:rPr>
          <w:rFonts w:hint="eastAsia" w:ascii="方正小标宋简体" w:hAnsi="方正小标宋简体" w:eastAsia="方正小标宋简体" w:cs="方正小标宋简体"/>
          <w:sz w:val="44"/>
          <w:szCs w:val="44"/>
          <w:highlight w:val="none"/>
        </w:rPr>
        <w:t>部门</w:t>
      </w:r>
    </w:p>
    <w:p>
      <w:pPr>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整体支出绩效自评报告</w:t>
      </w:r>
      <w:bookmarkEnd w:id="0"/>
    </w:p>
    <w:p>
      <w:pPr>
        <w:jc w:val="center"/>
        <w:rPr>
          <w:rFonts w:hint="default" w:ascii="Times New Roman" w:hAnsi="Times New Roman" w:eastAsia="方正小标宋_GBK" w:cs="Times New Roman"/>
          <w:b/>
          <w:sz w:val="52"/>
          <w:szCs w:val="5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both"/>
        <w:rPr>
          <w:rFonts w:hint="default" w:ascii="Times New Roman" w:hAnsi="Times New Roman" w:eastAsia="黑体" w:cs="Times New Roman"/>
          <w:sz w:val="32"/>
          <w:szCs w:val="32"/>
          <w:highlight w:val="none"/>
        </w:rPr>
      </w:pPr>
    </w:p>
    <w:p>
      <w:pPr>
        <w:jc w:val="both"/>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spacing w:line="600" w:lineRule="exact"/>
        <w:jc w:val="center"/>
        <w:rPr>
          <w:rFonts w:hint="default" w:ascii="Times New Roman" w:hAnsi="Times New Roman" w:eastAsia="仿宋_GB2312" w:cs="Times New Roman"/>
          <w:sz w:val="32"/>
          <w:szCs w:val="32"/>
          <w:highlight w:val="none"/>
          <w:u w:val="single"/>
        </w:rPr>
      </w:pPr>
      <w:r>
        <w:rPr>
          <w:rFonts w:hint="default" w:ascii="Times New Roman" w:hAnsi="Times New Roman" w:eastAsia="仿宋_GB2312" w:cs="Times New Roman"/>
          <w:sz w:val="32"/>
          <w:szCs w:val="32"/>
          <w:highlight w:val="none"/>
        </w:rPr>
        <w:t>部门（单位）名称：</w:t>
      </w:r>
      <w:r>
        <w:rPr>
          <w:rFonts w:hint="default" w:ascii="Times New Roman" w:hAnsi="Times New Roman" w:eastAsia="仿宋_GB2312" w:cs="Times New Roman"/>
          <w:sz w:val="32"/>
          <w:szCs w:val="32"/>
          <w:highlight w:val="none"/>
          <w:u w:val="single"/>
        </w:rPr>
        <w:t>（盖章）</w:t>
      </w:r>
    </w:p>
    <w:p>
      <w:pPr>
        <w:spacing w:line="600" w:lineRule="exact"/>
        <w:jc w:val="center"/>
        <w:rPr>
          <w:rFonts w:hint="default" w:ascii="Times New Roman" w:hAnsi="Times New Roman" w:eastAsia="楷体_GB2312" w:cs="Times New Roman"/>
          <w:sz w:val="32"/>
          <w:szCs w:val="32"/>
          <w:highlight w:val="none"/>
        </w:rPr>
      </w:pPr>
      <w:r>
        <w:rPr>
          <w:rFonts w:hint="eastAsia" w:ascii="Times New Roman" w:hAnsi="Times New Roman" w:eastAsia="楷体_GB2312" w:cs="Times New Roman"/>
          <w:sz w:val="32"/>
          <w:szCs w:val="32"/>
          <w:highlight w:val="none"/>
          <w:lang w:val="en-US" w:eastAsia="zh-CN"/>
        </w:rPr>
        <w:t>2024</w:t>
      </w:r>
      <w:r>
        <w:rPr>
          <w:rFonts w:hint="default" w:ascii="Times New Roman" w:hAnsi="Times New Roman" w:eastAsia="楷体_GB2312" w:cs="Times New Roman"/>
          <w:sz w:val="32"/>
          <w:szCs w:val="32"/>
          <w:highlight w:val="none"/>
        </w:rPr>
        <w:t xml:space="preserve">年 </w:t>
      </w:r>
      <w:r>
        <w:rPr>
          <w:rFonts w:hint="eastAsia" w:ascii="Times New Roman" w:hAnsi="Times New Roman" w:eastAsia="楷体_GB2312" w:cs="Times New Roman"/>
          <w:sz w:val="32"/>
          <w:szCs w:val="32"/>
          <w:highlight w:val="none"/>
          <w:lang w:val="en-US" w:eastAsia="zh-CN"/>
        </w:rPr>
        <w:t>6</w:t>
      </w:r>
      <w:r>
        <w:rPr>
          <w:rFonts w:hint="default" w:ascii="Times New Roman" w:hAnsi="Times New Roman" w:eastAsia="楷体_GB2312" w:cs="Times New Roman"/>
          <w:sz w:val="32"/>
          <w:szCs w:val="32"/>
          <w:highlight w:val="none"/>
        </w:rPr>
        <w:t xml:space="preserve"> 月 </w:t>
      </w:r>
      <w:r>
        <w:rPr>
          <w:rFonts w:hint="eastAsia" w:ascii="Times New Roman" w:hAnsi="Times New Roman" w:eastAsia="楷体_GB2312" w:cs="Times New Roman"/>
          <w:sz w:val="32"/>
          <w:szCs w:val="32"/>
          <w:highlight w:val="none"/>
          <w:lang w:val="en-US" w:eastAsia="zh-CN"/>
        </w:rPr>
        <w:t>25</w:t>
      </w:r>
      <w:r>
        <w:rPr>
          <w:rFonts w:hint="default" w:ascii="Times New Roman" w:hAnsi="Times New Roman" w:eastAsia="楷体_GB2312" w:cs="Times New Roman"/>
          <w:sz w:val="32"/>
          <w:szCs w:val="32"/>
          <w:highlight w:val="none"/>
        </w:rPr>
        <w:t xml:space="preserve"> 日</w:t>
      </w:r>
    </w:p>
    <w:p>
      <w:pPr>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（此页为封面）</w:t>
      </w:r>
    </w:p>
    <w:p>
      <w:pPr>
        <w:jc w:val="center"/>
        <w:rPr>
          <w:rFonts w:hint="eastAsia" w:ascii="方正小标宋简体" w:hAnsi="方正小标宋简体" w:eastAsia="方正小标宋简体" w:cs="方正小标宋简体"/>
          <w:sz w:val="44"/>
          <w:szCs w:val="44"/>
          <w:highlight w:val="none"/>
        </w:rPr>
      </w:pPr>
      <w:r>
        <w:rPr>
          <w:rFonts w:hint="default" w:ascii="Times New Roman" w:hAnsi="Times New Roman" w:eastAsia="仿宋_GB2312" w:cs="Times New Roman"/>
          <w:sz w:val="32"/>
          <w:szCs w:val="32"/>
          <w:highlight w:val="none"/>
        </w:rPr>
        <w:br w:type="page"/>
      </w: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年度</w:t>
      </w:r>
      <w:r>
        <w:rPr>
          <w:rFonts w:hint="eastAsia" w:ascii="方正小标宋简体" w:hAnsi="方正小标宋简体" w:eastAsia="方正小标宋简体" w:cs="方正小标宋简体"/>
          <w:sz w:val="44"/>
          <w:szCs w:val="44"/>
          <w:highlight w:val="none"/>
          <w:lang w:val="en-US" w:eastAsia="zh-CN"/>
        </w:rPr>
        <w:t>君山区住房和城乡建设局</w:t>
      </w:r>
      <w:r>
        <w:rPr>
          <w:rFonts w:hint="eastAsia" w:ascii="方正小标宋简体" w:hAnsi="方正小标宋简体" w:eastAsia="方正小标宋简体" w:cs="方正小标宋简体"/>
          <w:sz w:val="44"/>
          <w:szCs w:val="44"/>
          <w:highlight w:val="none"/>
        </w:rPr>
        <w:t>部门</w:t>
      </w:r>
    </w:p>
    <w:p>
      <w:pPr>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整体支出</w:t>
      </w:r>
    </w:p>
    <w:p>
      <w:pPr>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绩效自评报告</w:t>
      </w:r>
    </w:p>
    <w:p>
      <w:pPr>
        <w:keepNext w:val="0"/>
        <w:keepLines w:val="0"/>
        <w:pageBreakBefore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sz w:val="32"/>
          <w:szCs w:val="32"/>
          <w:highlight w:val="none"/>
        </w:rPr>
      </w:pPr>
    </w:p>
    <w:p>
      <w:pPr>
        <w:keepNext w:val="0"/>
        <w:keepLines w:val="0"/>
        <w:pageBreakBefore w:val="0"/>
        <w:numPr>
          <w:ilvl w:val="0"/>
          <w:numId w:val="3"/>
        </w:numPr>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部门（单位）基本情况</w:t>
      </w:r>
    </w:p>
    <w:p>
      <w:pPr>
        <w:spacing w:line="570" w:lineRule="atLeast"/>
        <w:ind w:firstLine="643"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（一）职能职责</w:t>
      </w:r>
    </w:p>
    <w:p>
      <w:pPr>
        <w:pStyle w:val="6"/>
        <w:shd w:val="clear" w:color="auto" w:fill="FFFFFF"/>
        <w:spacing w:before="0" w:beforeAutospacing="0" w:after="0" w:afterAutospacing="0" w:line="480" w:lineRule="auto"/>
        <w:ind w:firstLine="480"/>
        <w:jc w:val="both"/>
        <w:rPr>
          <w:rFonts w:hint="eastAsia" w:ascii="仿宋_GB2312" w:hAnsi="仿宋_GB2312" w:eastAsia="仿宋_GB2312" w:cs="仿宋_GB2312"/>
          <w:color w:val="000000"/>
          <w:kern w:val="2"/>
          <w:sz w:val="32"/>
          <w:szCs w:val="32"/>
          <w:highlight w:val="none"/>
          <w:shd w:val="clear" w:color="auto" w:fill="FFFFFF"/>
          <w:lang w:val="en-US" w:eastAsia="zh-CN" w:bidi="ar-SA"/>
        </w:rPr>
      </w:pPr>
      <w:r>
        <w:rPr>
          <w:rFonts w:hint="eastAsia" w:ascii="仿宋_GB2312" w:hAnsi="仿宋_GB2312" w:eastAsia="仿宋_GB2312" w:cs="仿宋_GB2312"/>
          <w:color w:val="000000"/>
          <w:kern w:val="2"/>
          <w:sz w:val="32"/>
          <w:szCs w:val="32"/>
          <w:highlight w:val="none"/>
          <w:shd w:val="clear" w:color="auto" w:fill="FFFFFF"/>
          <w:lang w:val="en-US" w:eastAsia="zh-CN" w:bidi="ar-SA"/>
        </w:rPr>
        <w:t>1、贯彻落实住房和城乡建设领域的政策法规；起草有关住房和城乡建设及人民防空规范性文件草案并监督实施；拟定住房和城乡建设及人民防空发展战略、产业政策、改革方案、中长期规划及年度计划并组织实施。</w:t>
      </w:r>
    </w:p>
    <w:p>
      <w:pPr>
        <w:pStyle w:val="6"/>
        <w:shd w:val="clear" w:color="auto" w:fill="FFFFFF"/>
        <w:spacing w:before="0" w:beforeAutospacing="0" w:after="0" w:afterAutospacing="0" w:line="480" w:lineRule="auto"/>
        <w:ind w:firstLine="480"/>
        <w:jc w:val="both"/>
        <w:rPr>
          <w:rFonts w:hint="eastAsia" w:ascii="仿宋_GB2312" w:hAnsi="仿宋_GB2312" w:eastAsia="仿宋_GB2312" w:cs="仿宋_GB2312"/>
          <w:color w:val="000000"/>
          <w:kern w:val="2"/>
          <w:sz w:val="32"/>
          <w:szCs w:val="32"/>
          <w:highlight w:val="none"/>
          <w:shd w:val="clear" w:color="auto" w:fill="FFFFFF"/>
          <w:lang w:val="en-US" w:eastAsia="zh-CN" w:bidi="ar-SA"/>
        </w:rPr>
      </w:pPr>
      <w:r>
        <w:rPr>
          <w:rFonts w:hint="eastAsia" w:ascii="仿宋_GB2312" w:hAnsi="仿宋_GB2312" w:eastAsia="仿宋_GB2312" w:cs="仿宋_GB2312"/>
          <w:color w:val="000000"/>
          <w:kern w:val="2"/>
          <w:sz w:val="32"/>
          <w:szCs w:val="32"/>
          <w:highlight w:val="none"/>
          <w:shd w:val="clear" w:color="auto" w:fill="FFFFFF"/>
          <w:lang w:val="en-US" w:eastAsia="zh-CN" w:bidi="ar-SA"/>
        </w:rPr>
        <w:t>2、承担城市建设工作。参与城建计划的编制；参与城建工程项目概（预）算的审查，负责工程项目竣工结算的初审；负责中心城区城建重点项目和旧城改造项目的建设管理；负责组织实施由政府投资的非经营性公用建设项目新建、改建和扩建工程；负责城区提质改造工作；负责海绵城市和城市综合管廊建设；负责城区黑臭水体整治。</w:t>
      </w:r>
    </w:p>
    <w:p>
      <w:pPr>
        <w:pStyle w:val="6"/>
        <w:shd w:val="clear" w:color="auto" w:fill="FFFFFF"/>
        <w:spacing w:before="0" w:beforeAutospacing="0" w:after="0" w:afterAutospacing="0" w:line="480" w:lineRule="auto"/>
        <w:ind w:firstLine="480"/>
        <w:jc w:val="both"/>
        <w:rPr>
          <w:rFonts w:hint="eastAsia" w:ascii="仿宋_GB2312" w:hAnsi="仿宋_GB2312" w:eastAsia="仿宋_GB2312" w:cs="仿宋_GB2312"/>
          <w:color w:val="000000"/>
          <w:kern w:val="2"/>
          <w:sz w:val="32"/>
          <w:szCs w:val="32"/>
          <w:highlight w:val="none"/>
          <w:shd w:val="clear" w:color="auto" w:fill="FFFFFF"/>
          <w:lang w:val="en-US" w:eastAsia="zh-CN" w:bidi="ar-SA"/>
        </w:rPr>
      </w:pPr>
      <w:r>
        <w:rPr>
          <w:rFonts w:hint="eastAsia" w:ascii="仿宋_GB2312" w:hAnsi="仿宋_GB2312" w:eastAsia="仿宋_GB2312" w:cs="仿宋_GB2312"/>
          <w:color w:val="000000"/>
          <w:kern w:val="2"/>
          <w:sz w:val="32"/>
          <w:szCs w:val="32"/>
          <w:highlight w:val="none"/>
          <w:shd w:val="clear" w:color="auto" w:fill="FFFFFF"/>
          <w:lang w:val="en-US" w:eastAsia="zh-CN" w:bidi="ar-SA"/>
        </w:rPr>
        <w:t>3、承担村镇建设指导管理责任。负责推荐新型城镇化工作；负责指导和协调小城镇建设，参与小城镇发展经费、计划编制及管理；负责指导农村危房改造工作；负责指导监督村镇生活污水处理设施及配套管网建设。</w:t>
      </w:r>
    </w:p>
    <w:p>
      <w:pPr>
        <w:pStyle w:val="6"/>
        <w:shd w:val="clear" w:color="auto" w:fill="FFFFFF"/>
        <w:spacing w:before="0" w:beforeAutospacing="0" w:after="0" w:afterAutospacing="0" w:line="480" w:lineRule="auto"/>
        <w:ind w:firstLine="480"/>
        <w:jc w:val="both"/>
        <w:rPr>
          <w:rFonts w:hint="eastAsia" w:ascii="仿宋_GB2312" w:hAnsi="仿宋_GB2312" w:eastAsia="仿宋_GB2312" w:cs="仿宋_GB2312"/>
          <w:color w:val="000000"/>
          <w:kern w:val="2"/>
          <w:sz w:val="32"/>
          <w:szCs w:val="32"/>
          <w:highlight w:val="none"/>
          <w:shd w:val="clear" w:color="auto" w:fill="FFFFFF"/>
          <w:lang w:val="en-US" w:eastAsia="zh-CN" w:bidi="ar-SA"/>
        </w:rPr>
      </w:pPr>
      <w:r>
        <w:rPr>
          <w:rFonts w:hint="eastAsia" w:ascii="仿宋_GB2312" w:hAnsi="仿宋_GB2312" w:eastAsia="仿宋_GB2312" w:cs="仿宋_GB2312"/>
          <w:color w:val="000000"/>
          <w:kern w:val="2"/>
          <w:sz w:val="32"/>
          <w:szCs w:val="32"/>
          <w:highlight w:val="none"/>
          <w:shd w:val="clear" w:color="auto" w:fill="FFFFFF"/>
          <w:lang w:val="en-US" w:eastAsia="zh-CN" w:bidi="ar-SA"/>
        </w:rPr>
        <w:t>4、承担人民防空工作。组织开展人民防空组织指挥工作；管理人民防空通信警报建设；管理人民防空经费和资产；组织人民防空干部教育培训。</w:t>
      </w:r>
    </w:p>
    <w:p>
      <w:pPr>
        <w:pStyle w:val="6"/>
        <w:shd w:val="clear" w:color="auto" w:fill="FFFFFF"/>
        <w:spacing w:before="0" w:beforeAutospacing="0" w:after="0" w:afterAutospacing="0" w:line="480" w:lineRule="auto"/>
        <w:ind w:firstLine="480"/>
        <w:jc w:val="both"/>
        <w:rPr>
          <w:rFonts w:hint="eastAsia" w:ascii="仿宋_GB2312" w:hAnsi="仿宋_GB2312" w:eastAsia="仿宋_GB2312" w:cs="仿宋_GB2312"/>
          <w:color w:val="000000"/>
          <w:kern w:val="2"/>
          <w:sz w:val="32"/>
          <w:szCs w:val="32"/>
          <w:highlight w:val="none"/>
          <w:shd w:val="clear" w:color="auto" w:fill="FFFFFF"/>
          <w:lang w:val="en-US" w:eastAsia="zh-CN" w:bidi="ar-SA"/>
        </w:rPr>
      </w:pPr>
      <w:r>
        <w:rPr>
          <w:rFonts w:hint="eastAsia" w:ascii="仿宋_GB2312" w:hAnsi="仿宋_GB2312" w:eastAsia="仿宋_GB2312" w:cs="仿宋_GB2312"/>
          <w:color w:val="000000"/>
          <w:kern w:val="2"/>
          <w:sz w:val="32"/>
          <w:szCs w:val="32"/>
          <w:highlight w:val="none"/>
          <w:shd w:val="clear" w:color="auto" w:fill="FFFFFF"/>
          <w:lang w:val="en-US" w:eastAsia="zh-CN" w:bidi="ar-SA"/>
        </w:rPr>
        <w:t>5、承担建筑市场管理和建设工程质量、安全生产的监督管理责任。负责建设工程施工许可管理和合同备案，核发《建筑工程施工许可证》；负责建设工程竣工验收备案管理和城市建设档案管理；负责对全区房屋建筑和市政基础设施建设工程招投标工作的监督管理；负责对全区建设监理进行监督管理；监督指导全区建设工程质量、安全生产；</w:t>
      </w:r>
    </w:p>
    <w:p>
      <w:pPr>
        <w:pStyle w:val="6"/>
        <w:shd w:val="clear" w:color="auto" w:fill="FFFFFF"/>
        <w:spacing w:before="0" w:beforeAutospacing="0" w:after="0" w:afterAutospacing="0" w:line="480" w:lineRule="auto"/>
        <w:ind w:firstLine="480"/>
        <w:jc w:val="both"/>
        <w:rPr>
          <w:rFonts w:hint="eastAsia" w:ascii="仿宋_GB2312" w:hAnsi="仿宋_GB2312" w:eastAsia="仿宋_GB2312" w:cs="仿宋_GB2312"/>
          <w:color w:val="000000"/>
          <w:kern w:val="2"/>
          <w:sz w:val="32"/>
          <w:szCs w:val="32"/>
          <w:highlight w:val="none"/>
          <w:shd w:val="clear" w:color="auto" w:fill="FFFFFF"/>
          <w:lang w:val="en-US" w:eastAsia="zh-CN" w:bidi="ar-SA"/>
        </w:rPr>
      </w:pPr>
      <w:r>
        <w:rPr>
          <w:rFonts w:hint="eastAsia" w:ascii="仿宋_GB2312" w:hAnsi="仿宋_GB2312" w:eastAsia="仿宋_GB2312" w:cs="仿宋_GB2312"/>
          <w:color w:val="000000"/>
          <w:kern w:val="2"/>
          <w:sz w:val="32"/>
          <w:szCs w:val="32"/>
          <w:highlight w:val="none"/>
          <w:shd w:val="clear" w:color="auto" w:fill="FFFFFF"/>
          <w:lang w:val="en-US" w:eastAsia="zh-CN" w:bidi="ar-SA"/>
        </w:rPr>
        <w:t>6、承担全区房屋建筑和市政基础设施建设工程勘察设计市场监督管理。负责全区建设工程初步设计审批、施工图审查、消防设计的审查验收；</w:t>
      </w:r>
    </w:p>
    <w:p>
      <w:pPr>
        <w:pStyle w:val="6"/>
        <w:shd w:val="clear" w:color="auto" w:fill="FFFFFF"/>
        <w:spacing w:before="0" w:beforeAutospacing="0" w:after="0" w:afterAutospacing="0" w:line="480" w:lineRule="auto"/>
        <w:ind w:firstLine="480"/>
        <w:jc w:val="both"/>
        <w:rPr>
          <w:rFonts w:hint="eastAsia" w:ascii="仿宋_GB2312" w:hAnsi="仿宋_GB2312" w:eastAsia="仿宋_GB2312" w:cs="仿宋_GB2312"/>
          <w:color w:val="000000"/>
          <w:kern w:val="2"/>
          <w:sz w:val="32"/>
          <w:szCs w:val="32"/>
          <w:highlight w:val="none"/>
          <w:shd w:val="clear" w:color="auto" w:fill="FFFFFF"/>
          <w:lang w:val="en-US" w:eastAsia="zh-CN" w:bidi="ar-SA"/>
        </w:rPr>
      </w:pPr>
      <w:r>
        <w:rPr>
          <w:rFonts w:hint="eastAsia" w:ascii="仿宋_GB2312" w:hAnsi="仿宋_GB2312" w:eastAsia="仿宋_GB2312" w:cs="仿宋_GB2312"/>
          <w:color w:val="000000"/>
          <w:kern w:val="2"/>
          <w:sz w:val="32"/>
          <w:szCs w:val="32"/>
          <w:highlight w:val="none"/>
          <w:shd w:val="clear" w:color="auto" w:fill="FFFFFF"/>
          <w:lang w:val="en-US" w:eastAsia="zh-CN" w:bidi="ar-SA"/>
        </w:rPr>
        <w:t>7、承担全区房屋建筑市场和市政基础设施建设工程发承包计价活动的监督和管理。承担推荐建设科技成果转化推广和建筑节能工作。负责对全区房地产业的协调和指导，加强对经济适用房、廉租房、公租房、棚户区的改造、货币补贴等住房保障工作的宏观规划、指导、监督和协调。</w:t>
      </w:r>
    </w:p>
    <w:p>
      <w:pPr>
        <w:pStyle w:val="6"/>
        <w:shd w:val="clear" w:color="auto" w:fill="FFFFFF"/>
        <w:spacing w:before="0" w:beforeAutospacing="0" w:after="0" w:afterAutospacing="0" w:line="480" w:lineRule="auto"/>
        <w:ind w:firstLine="480"/>
        <w:jc w:val="both"/>
        <w:rPr>
          <w:rFonts w:hint="eastAsia" w:ascii="仿宋_GB2312" w:hAnsi="仿宋_GB2312" w:eastAsia="仿宋_GB2312" w:cs="仿宋_GB2312"/>
          <w:color w:val="000000"/>
          <w:kern w:val="2"/>
          <w:sz w:val="32"/>
          <w:szCs w:val="32"/>
          <w:highlight w:val="none"/>
          <w:shd w:val="clear" w:color="auto" w:fill="FFFFFF"/>
          <w:lang w:val="en-US" w:eastAsia="zh-CN" w:bidi="ar-SA"/>
        </w:rPr>
      </w:pPr>
      <w:r>
        <w:rPr>
          <w:rFonts w:hint="eastAsia" w:ascii="仿宋_GB2312" w:hAnsi="仿宋_GB2312" w:eastAsia="仿宋_GB2312" w:cs="仿宋_GB2312"/>
          <w:color w:val="000000"/>
          <w:kern w:val="2"/>
          <w:sz w:val="32"/>
          <w:szCs w:val="32"/>
          <w:highlight w:val="none"/>
          <w:shd w:val="clear" w:color="auto" w:fill="FFFFFF"/>
          <w:lang w:val="en-US" w:eastAsia="zh-CN" w:bidi="ar-SA"/>
        </w:rPr>
        <w:t>8、承担城镇供排水及污水处理监督管理责任；负责城区排水设施、污水及污泥处理设施的建设和运行维护的监督管理；负责指导城市供水建设、协调城市供水工作；负责监督指导村镇污水处理设施和运行管理。</w:t>
      </w:r>
    </w:p>
    <w:p>
      <w:pPr>
        <w:pStyle w:val="6"/>
        <w:shd w:val="clear" w:color="auto" w:fill="FFFFFF"/>
        <w:spacing w:before="0" w:beforeAutospacing="0" w:after="0" w:afterAutospacing="0" w:line="480" w:lineRule="auto"/>
        <w:ind w:firstLine="480"/>
        <w:jc w:val="both"/>
        <w:rPr>
          <w:rFonts w:hint="eastAsia" w:ascii="仿宋_GB2312" w:hAnsi="仿宋_GB2312" w:eastAsia="仿宋_GB2312" w:cs="仿宋_GB2312"/>
          <w:color w:val="000000"/>
          <w:kern w:val="2"/>
          <w:sz w:val="32"/>
          <w:szCs w:val="32"/>
          <w:highlight w:val="none"/>
          <w:shd w:val="clear" w:color="auto" w:fill="FFFFFF"/>
          <w:lang w:val="en-US" w:eastAsia="zh-CN" w:bidi="ar-SA"/>
        </w:rPr>
      </w:pPr>
      <w:r>
        <w:rPr>
          <w:rFonts w:hint="eastAsia" w:ascii="仿宋_GB2312" w:hAnsi="仿宋_GB2312" w:eastAsia="仿宋_GB2312" w:cs="仿宋_GB2312"/>
          <w:color w:val="000000"/>
          <w:kern w:val="2"/>
          <w:sz w:val="32"/>
          <w:szCs w:val="32"/>
          <w:highlight w:val="none"/>
          <w:shd w:val="clear" w:color="auto" w:fill="FFFFFF"/>
          <w:lang w:val="en-US" w:eastAsia="zh-CN" w:bidi="ar-SA"/>
        </w:rPr>
        <w:t>9、完成区委和区政府交办的其他任务。</w:t>
      </w:r>
    </w:p>
    <w:p>
      <w:pPr>
        <w:spacing w:line="570" w:lineRule="atLeast"/>
        <w:ind w:firstLine="643" w:firstLineChars="200"/>
        <w:rPr>
          <w:rFonts w:hint="eastAsia" w:ascii="仿宋_GB2312" w:hAnsi="仿宋_GB2312" w:eastAsia="仿宋_GB2312" w:cs="仿宋_GB2312"/>
          <w:color w:val="000000"/>
          <w:sz w:val="32"/>
          <w:szCs w:val="32"/>
          <w:highlight w:val="none"/>
          <w:shd w:val="clear" w:color="auto" w:fill="FFFFFF"/>
          <w:lang w:val="en-US" w:eastAsia="zh-CN"/>
        </w:rPr>
      </w:pPr>
      <w:r>
        <w:rPr>
          <w:rFonts w:hint="eastAsia" w:ascii="仿宋_GB2312" w:hAnsi="仿宋_GB2312" w:eastAsia="仿宋_GB2312" w:cs="仿宋_GB2312"/>
          <w:b/>
          <w:bCs/>
          <w:color w:val="000000"/>
          <w:sz w:val="32"/>
          <w:szCs w:val="32"/>
          <w:highlight w:val="none"/>
          <w:shd w:val="clear" w:color="auto" w:fill="FFFFFF"/>
          <w:lang w:val="en-US" w:eastAsia="zh-CN"/>
        </w:rPr>
        <w:t>（二）机构设置</w:t>
      </w:r>
    </w:p>
    <w:p>
      <w:pPr>
        <w:spacing w:line="570" w:lineRule="atLeast"/>
        <w:ind w:firstLine="640" w:firstLineChars="200"/>
        <w:rPr>
          <w:rFonts w:hint="eastAsia" w:asciiTheme="minorEastAsia" w:hAnsiTheme="minorEastAsia" w:cstheme="minorEastAsia"/>
          <w:sz w:val="28"/>
          <w:szCs w:val="28"/>
          <w:highlight w:val="none"/>
          <w:lang w:val="en-US" w:eastAsia="zh-CN"/>
        </w:rPr>
      </w:pPr>
      <w:r>
        <w:rPr>
          <w:rFonts w:hint="eastAsia" w:ascii="仿宋_GB2312" w:hAnsi="仿宋_GB2312" w:eastAsia="仿宋_GB2312" w:cs="仿宋_GB2312"/>
          <w:color w:val="000000"/>
          <w:sz w:val="32"/>
          <w:szCs w:val="32"/>
          <w:highlight w:val="none"/>
          <w:shd w:val="clear" w:color="auto" w:fill="FFFFFF"/>
          <w:lang w:val="en-US" w:eastAsia="zh-CN"/>
        </w:rPr>
        <w:t>岳阳市君山区住房和城乡建设局内设机构6个，事业单位7个。内设机构包括：办公室、行政审批股、政工人事股、计划财务股、城乡建设管理股、房产股等6个股室。事业单位包括：现住建局设有6个内设股室及7个二级机构，内设股室分别为：办公室、行政审批股、政工人事股、计划财务股、城乡建设管理股、房产股；二级机构分别为：住房保障中心、建筑施工管理站、质量安全监督站、招投标造价交易中心、供排水服务中心、消防工作站、房产事务中心（其中房产事务中心为副科级单位 ，其余股室二级机构为股级单位)。</w:t>
      </w:r>
      <w:r>
        <w:rPr>
          <w:rFonts w:hint="eastAsia" w:asciiTheme="minorEastAsia" w:hAnsiTheme="minorEastAsia" w:cstheme="minorEastAsia"/>
          <w:sz w:val="28"/>
          <w:szCs w:val="28"/>
          <w:highlight w:val="none"/>
          <w:lang w:val="en-US" w:eastAsia="zh-CN"/>
        </w:rPr>
        <w:t xml:space="preserve">    </w:t>
      </w:r>
    </w:p>
    <w:p>
      <w:pPr>
        <w:pStyle w:val="11"/>
        <w:numPr>
          <w:ilvl w:val="0"/>
          <w:numId w:val="0"/>
        </w:numPr>
        <w:rPr>
          <w:rFonts w:hint="default"/>
        </w:rPr>
      </w:pPr>
    </w:p>
    <w:p>
      <w:pPr>
        <w:pStyle w:val="10"/>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二、一般公共预算支出情况</w:t>
      </w:r>
    </w:p>
    <w:p>
      <w:pPr>
        <w:pStyle w:val="10"/>
        <w:keepNext w:val="0"/>
        <w:keepLines w:val="0"/>
        <w:pageBreakBefore w:val="0"/>
        <w:widowControl/>
        <w:kinsoku/>
        <w:wordWrap/>
        <w:overflowPunct/>
        <w:topLinePunct w:val="0"/>
        <w:autoSpaceDE/>
        <w:autoSpaceDN/>
        <w:bidi w:val="0"/>
        <w:adjustRightInd/>
        <w:snapToGrid/>
        <w:spacing w:line="640" w:lineRule="exact"/>
        <w:ind w:firstLine="643" w:firstLineChars="200"/>
        <w:jc w:val="both"/>
        <w:textAlignment w:val="auto"/>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（一）基本支出情况</w:t>
      </w:r>
    </w:p>
    <w:p>
      <w:pPr>
        <w:spacing w:line="570" w:lineRule="atLeast"/>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2023年本部门基本支出</w:t>
      </w:r>
      <w:r>
        <w:rPr>
          <w:rFonts w:hint="default" w:ascii="仿宋_GB2312" w:hAnsi="仿宋_GB2312" w:eastAsia="仿宋_GB2312" w:cs="仿宋_GB2312"/>
          <w:color w:val="000000"/>
          <w:sz w:val="32"/>
          <w:szCs w:val="32"/>
          <w:shd w:val="clear" w:color="auto" w:fill="FFFFFF"/>
          <w:lang w:val="en-US" w:eastAsia="zh-CN"/>
        </w:rPr>
        <w:t>为</w:t>
      </w:r>
      <w:r>
        <w:rPr>
          <w:rFonts w:hint="eastAsia" w:ascii="仿宋_GB2312" w:hAnsi="仿宋_GB2312" w:eastAsia="仿宋_GB2312" w:cs="仿宋_GB2312"/>
          <w:color w:val="000000"/>
          <w:sz w:val="32"/>
          <w:szCs w:val="32"/>
          <w:shd w:val="clear" w:color="auto" w:fill="FFFFFF"/>
          <w:lang w:val="en-US" w:eastAsia="zh-CN"/>
        </w:rPr>
        <w:t>1464.17</w:t>
      </w:r>
      <w:r>
        <w:rPr>
          <w:rFonts w:hint="default" w:ascii="仿宋_GB2312" w:hAnsi="仿宋_GB2312" w:eastAsia="仿宋_GB2312" w:cs="仿宋_GB2312"/>
          <w:color w:val="000000"/>
          <w:sz w:val="32"/>
          <w:szCs w:val="32"/>
          <w:shd w:val="clear" w:color="auto" w:fill="FFFFFF"/>
          <w:lang w:val="en-US" w:eastAsia="zh-CN"/>
        </w:rPr>
        <w:t>万元，</w:t>
      </w:r>
      <w:r>
        <w:rPr>
          <w:rFonts w:hint="eastAsia" w:ascii="Times New Roman" w:hAnsi="Times New Roman" w:eastAsia="楷体_GB2312" w:cs="Times New Roman"/>
          <w:b w:val="0"/>
          <w:bCs/>
          <w:sz w:val="32"/>
          <w:szCs w:val="32"/>
          <w:highlight w:val="none"/>
          <w:lang w:val="en-US" w:eastAsia="zh-CN"/>
        </w:rPr>
        <w:t>基本支出</w:t>
      </w:r>
      <w:r>
        <w:rPr>
          <w:rFonts w:hint="eastAsia" w:ascii="仿宋_GB2312" w:hAnsi="仿宋_GB2312" w:eastAsia="仿宋_GB2312" w:cs="仿宋_GB2312"/>
          <w:b w:val="0"/>
          <w:bCs/>
          <w:color w:val="000000"/>
          <w:sz w:val="32"/>
          <w:szCs w:val="32"/>
          <w:shd w:val="clear" w:color="auto" w:fill="FFFFFF"/>
          <w:lang w:val="en-US" w:eastAsia="zh-CN"/>
        </w:rPr>
        <w:t>主要</w:t>
      </w:r>
      <w:r>
        <w:rPr>
          <w:rFonts w:hint="eastAsia" w:ascii="仿宋_GB2312" w:hAnsi="仿宋_GB2312" w:eastAsia="仿宋_GB2312" w:cs="仿宋_GB2312"/>
          <w:color w:val="000000"/>
          <w:sz w:val="32"/>
          <w:szCs w:val="32"/>
          <w:shd w:val="clear" w:color="auto" w:fill="FFFFFF"/>
          <w:lang w:val="en-US" w:eastAsia="zh-CN"/>
        </w:rPr>
        <w:t>是为保障部门正常运转、完成日常工作任务而发生的各项支出，包括用于基本工资、津贴补贴等人员经费以及办公费、印刷费、水电费、办公设备购置等公用经费。</w:t>
      </w:r>
    </w:p>
    <w:p>
      <w:pPr>
        <w:pStyle w:val="10"/>
        <w:keepNext w:val="0"/>
        <w:keepLines w:val="0"/>
        <w:pageBreakBefore w:val="0"/>
        <w:widowControl/>
        <w:numPr>
          <w:ilvl w:val="0"/>
          <w:numId w:val="4"/>
        </w:numPr>
        <w:kinsoku/>
        <w:wordWrap/>
        <w:overflowPunct/>
        <w:topLinePunct w:val="0"/>
        <w:autoSpaceDE/>
        <w:autoSpaceDN/>
        <w:bidi w:val="0"/>
        <w:adjustRightInd/>
        <w:snapToGrid/>
        <w:spacing w:line="640" w:lineRule="exact"/>
        <w:ind w:firstLine="643" w:firstLineChars="200"/>
        <w:jc w:val="both"/>
        <w:textAlignment w:val="auto"/>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项目支出情况</w:t>
      </w:r>
    </w:p>
    <w:p>
      <w:pPr>
        <w:spacing w:line="570" w:lineRule="atLeast"/>
        <w:ind w:firstLine="640" w:firstLineChars="200"/>
        <w:rPr>
          <w:rFonts w:hint="default" w:ascii="Times New Roman" w:hAnsi="Times New Roman" w:eastAsia="楷体_GB2312" w:cs="Times New Roman"/>
          <w:b/>
          <w:sz w:val="32"/>
          <w:szCs w:val="32"/>
          <w:highlight w:val="none"/>
        </w:rPr>
      </w:pPr>
      <w:r>
        <w:rPr>
          <w:rFonts w:hint="eastAsia" w:ascii="仿宋_GB2312" w:hAnsi="仿宋_GB2312" w:eastAsia="仿宋_GB2312" w:cs="仿宋_GB2312"/>
          <w:color w:val="000000"/>
          <w:sz w:val="32"/>
          <w:szCs w:val="32"/>
          <w:shd w:val="clear" w:color="auto" w:fill="FFFFFF"/>
          <w:lang w:val="en-US" w:eastAsia="zh-CN"/>
        </w:rPr>
        <w:t>2023年本部门项目支出5826.66万元，主要是本部门为完成特定工作任务或事业发展目标而发生的支出，包括有关事业发展专项、专项业务费、基本建设支出等，主要用于</w:t>
      </w:r>
      <w:r>
        <w:rPr>
          <w:rFonts w:hint="eastAsia" w:eastAsia="仿宋_GB2312"/>
          <w:sz w:val="32"/>
          <w:szCs w:val="32"/>
          <w:highlight w:val="none"/>
          <w:lang w:eastAsia="zh-CN"/>
        </w:rPr>
        <w:t>业务工作经费支出、</w:t>
      </w:r>
      <w:r>
        <w:rPr>
          <w:rFonts w:hint="eastAsia" w:eastAsia="仿宋_GB2312"/>
          <w:sz w:val="32"/>
          <w:szCs w:val="32"/>
          <w:highlight w:val="none"/>
          <w:lang w:val="en-US" w:eastAsia="zh-CN"/>
        </w:rPr>
        <w:t>施工图审费、行政审批帮代办服务费、居民自建房安全专项整治工作经费、烟囱拆除资金及</w:t>
      </w:r>
      <w:r>
        <w:rPr>
          <w:rFonts w:hint="eastAsia" w:ascii="Times New Roman" w:hAnsi="Times New Roman" w:eastAsia="仿宋_GB2312" w:cs="Times New Roman"/>
          <w:sz w:val="32"/>
          <w:szCs w:val="32"/>
          <w:lang w:val="en-US" w:eastAsia="zh-CN"/>
        </w:rPr>
        <w:t>污水二厂日常运行</w:t>
      </w:r>
      <w:r>
        <w:rPr>
          <w:rFonts w:hint="eastAsia" w:ascii="仿宋_GB2312" w:hAnsi="仿宋_GB2312" w:eastAsia="仿宋_GB2312" w:cs="仿宋_GB2312"/>
          <w:color w:val="000000"/>
          <w:sz w:val="32"/>
          <w:szCs w:val="32"/>
          <w:shd w:val="clear" w:color="auto" w:fill="FFFFFF"/>
          <w:lang w:val="en-US" w:eastAsia="zh-CN"/>
        </w:rPr>
        <w:t xml:space="preserve">等方面。 </w:t>
      </w:r>
    </w:p>
    <w:p>
      <w:pPr>
        <w:pStyle w:val="10"/>
        <w:keepNext w:val="0"/>
        <w:keepLines w:val="0"/>
        <w:pageBreakBefore w:val="0"/>
        <w:widowControl/>
        <w:numPr>
          <w:ilvl w:val="0"/>
          <w:numId w:val="0"/>
        </w:numPr>
        <w:kinsoku/>
        <w:wordWrap/>
        <w:overflowPunct/>
        <w:topLinePunct w:val="0"/>
        <w:autoSpaceDE/>
        <w:autoSpaceDN/>
        <w:bidi w:val="0"/>
        <w:adjustRightInd/>
        <w:snapToGrid/>
        <w:spacing w:line="640" w:lineRule="exact"/>
        <w:ind w:leftChars="200"/>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val="en-US" w:eastAsia="zh-CN"/>
        </w:rPr>
        <w:t>三、</w:t>
      </w:r>
      <w:r>
        <w:rPr>
          <w:rFonts w:hint="default" w:ascii="Times New Roman" w:hAnsi="Times New Roman" w:eastAsia="黑体" w:cs="Times New Roman"/>
          <w:sz w:val="32"/>
          <w:szCs w:val="32"/>
          <w:highlight w:val="none"/>
        </w:rPr>
        <w:t>政府性基金预算支出情况</w:t>
      </w:r>
    </w:p>
    <w:p>
      <w:pPr>
        <w:spacing w:line="570" w:lineRule="atLeast"/>
        <w:ind w:firstLine="640" w:firstLineChars="200"/>
        <w:rPr>
          <w:rFonts w:hint="default" w:ascii="Times New Roman" w:hAnsi="Times New Roman" w:eastAsia="黑体" w:cs="Times New Roman"/>
          <w:sz w:val="32"/>
          <w:szCs w:val="32"/>
          <w:highlight w:val="none"/>
        </w:rPr>
      </w:pPr>
      <w:r>
        <w:rPr>
          <w:rFonts w:hint="eastAsia" w:ascii="仿宋_GB2312" w:hAnsi="仿宋_GB2312" w:eastAsia="仿宋_GB2312" w:cs="仿宋_GB2312"/>
          <w:color w:val="000000"/>
          <w:sz w:val="32"/>
          <w:szCs w:val="32"/>
          <w:shd w:val="clear" w:color="auto" w:fill="FFFFFF"/>
          <w:lang w:val="en-US" w:eastAsia="zh-CN"/>
        </w:rPr>
        <w:t>2023年度本部门政府性基金支出为2710.78万元，其中基本支出474.46万元，主要为污水二厂日常运行支出，项目支出2236.32万元，主要用于污水PPP项目财政可行性缺口补助、岳华村村民活动中心项目及双元队背街小巷提质改造项目。</w:t>
      </w:r>
    </w:p>
    <w:p>
      <w:pPr>
        <w:pStyle w:val="10"/>
        <w:keepNext w:val="0"/>
        <w:keepLines w:val="0"/>
        <w:pageBreakBefore w:val="0"/>
        <w:widowControl/>
        <w:numPr>
          <w:ilvl w:val="0"/>
          <w:numId w:val="0"/>
        </w:numPr>
        <w:kinsoku/>
        <w:wordWrap/>
        <w:overflowPunct/>
        <w:topLinePunct w:val="0"/>
        <w:autoSpaceDE/>
        <w:autoSpaceDN/>
        <w:bidi w:val="0"/>
        <w:adjustRightInd/>
        <w:snapToGrid/>
        <w:spacing w:line="640" w:lineRule="exact"/>
        <w:ind w:leftChars="200"/>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val="en-US" w:eastAsia="zh-CN"/>
        </w:rPr>
        <w:t>四、</w:t>
      </w:r>
      <w:r>
        <w:rPr>
          <w:rFonts w:hint="default" w:ascii="Times New Roman" w:hAnsi="Times New Roman" w:eastAsia="黑体" w:cs="Times New Roman"/>
          <w:sz w:val="32"/>
          <w:szCs w:val="32"/>
          <w:highlight w:val="none"/>
        </w:rPr>
        <w:t>国有资本经营预算支出情况</w:t>
      </w:r>
    </w:p>
    <w:p>
      <w:pPr>
        <w:pStyle w:val="10"/>
        <w:keepNext w:val="0"/>
        <w:keepLines w:val="0"/>
        <w:pageBreakBefore w:val="0"/>
        <w:widowControl/>
        <w:numPr>
          <w:ilvl w:val="0"/>
          <w:numId w:val="0"/>
        </w:numPr>
        <w:kinsoku/>
        <w:wordWrap/>
        <w:overflowPunct/>
        <w:topLinePunct w:val="0"/>
        <w:autoSpaceDE/>
        <w:autoSpaceDN/>
        <w:bidi w:val="0"/>
        <w:adjustRightInd/>
        <w:snapToGrid/>
        <w:spacing w:line="640" w:lineRule="exact"/>
        <w:ind w:leftChars="200"/>
        <w:jc w:val="both"/>
        <w:textAlignment w:val="auto"/>
        <w:rPr>
          <w:rFonts w:hint="eastAsia" w:ascii="Times New Roman" w:hAnsi="Times New Roman" w:eastAsia="黑体" w:cs="Times New Roman"/>
          <w:sz w:val="32"/>
          <w:szCs w:val="32"/>
          <w:highlight w:val="none"/>
          <w:lang w:val="en-US" w:eastAsia="zh-CN"/>
        </w:rPr>
      </w:pPr>
      <w:r>
        <w:rPr>
          <w:rFonts w:hint="default" w:ascii="仿宋_GB2312" w:hAnsi="仿宋_GB2312" w:eastAsia="仿宋_GB2312" w:cs="仿宋_GB2312"/>
          <w:color w:val="000000"/>
          <w:kern w:val="0"/>
          <w:sz w:val="32"/>
          <w:szCs w:val="32"/>
          <w:shd w:val="clear" w:color="auto" w:fill="FFFFFF"/>
          <w:lang w:val="en-US" w:eastAsia="zh-CN" w:bidi="ar-SA"/>
        </w:rPr>
        <w:t>202</w:t>
      </w:r>
      <w:r>
        <w:rPr>
          <w:rFonts w:hint="eastAsia" w:ascii="仿宋_GB2312" w:hAnsi="仿宋_GB2312" w:eastAsia="仿宋_GB2312" w:cs="仿宋_GB2312"/>
          <w:color w:val="000000"/>
          <w:kern w:val="0"/>
          <w:sz w:val="32"/>
          <w:szCs w:val="32"/>
          <w:shd w:val="clear" w:color="auto" w:fill="FFFFFF"/>
          <w:lang w:val="en-US" w:eastAsia="zh-CN" w:bidi="ar-SA"/>
        </w:rPr>
        <w:t>3年度我局无国有资本经营预算支出。</w:t>
      </w:r>
    </w:p>
    <w:p>
      <w:pPr>
        <w:pStyle w:val="10"/>
        <w:keepNext w:val="0"/>
        <w:keepLines w:val="0"/>
        <w:pageBreakBefore w:val="0"/>
        <w:widowControl/>
        <w:numPr>
          <w:ilvl w:val="0"/>
          <w:numId w:val="0"/>
        </w:numPr>
        <w:kinsoku/>
        <w:wordWrap/>
        <w:overflowPunct/>
        <w:topLinePunct w:val="0"/>
        <w:autoSpaceDE/>
        <w:autoSpaceDN/>
        <w:bidi w:val="0"/>
        <w:adjustRightInd/>
        <w:snapToGrid/>
        <w:spacing w:line="640" w:lineRule="exact"/>
        <w:ind w:leftChars="200"/>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val="en-US" w:eastAsia="zh-CN"/>
        </w:rPr>
        <w:t>五、</w:t>
      </w:r>
      <w:r>
        <w:rPr>
          <w:rFonts w:hint="default" w:ascii="Times New Roman" w:hAnsi="Times New Roman" w:eastAsia="黑体" w:cs="Times New Roman"/>
          <w:sz w:val="32"/>
          <w:szCs w:val="32"/>
          <w:highlight w:val="none"/>
        </w:rPr>
        <w:t>社会保险基金预算支出情况</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color w:val="000000"/>
          <w:kern w:val="0"/>
          <w:sz w:val="32"/>
          <w:szCs w:val="32"/>
          <w:shd w:val="clear" w:color="auto" w:fill="FFFFFF"/>
          <w:lang w:val="en-US" w:eastAsia="zh-CN" w:bidi="ar-SA"/>
        </w:rPr>
      </w:pPr>
      <w:r>
        <w:rPr>
          <w:rFonts w:hint="default" w:ascii="仿宋_GB2312" w:hAnsi="仿宋_GB2312" w:eastAsia="仿宋_GB2312" w:cs="仿宋_GB2312"/>
          <w:color w:val="000000"/>
          <w:kern w:val="0"/>
          <w:sz w:val="32"/>
          <w:szCs w:val="32"/>
          <w:shd w:val="clear" w:color="auto" w:fill="FFFFFF"/>
          <w:lang w:val="en-US" w:eastAsia="zh-CN" w:bidi="ar-SA"/>
        </w:rPr>
        <w:t>202</w:t>
      </w:r>
      <w:r>
        <w:rPr>
          <w:rFonts w:hint="eastAsia" w:ascii="仿宋_GB2312" w:hAnsi="仿宋_GB2312" w:eastAsia="仿宋_GB2312" w:cs="仿宋_GB2312"/>
          <w:color w:val="000000"/>
          <w:kern w:val="0"/>
          <w:sz w:val="32"/>
          <w:szCs w:val="32"/>
          <w:shd w:val="clear" w:color="auto" w:fill="FFFFFF"/>
          <w:lang w:val="en-US" w:eastAsia="zh-CN" w:bidi="ar-SA"/>
        </w:rPr>
        <w:t>3年度我局无社会保险基金预算支出。</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六、部门整体支出绩效情况</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color w:val="000000"/>
          <w:kern w:val="0"/>
          <w:sz w:val="32"/>
          <w:szCs w:val="32"/>
          <w:shd w:val="clear" w:color="auto" w:fill="FFFFFF"/>
          <w:lang w:val="en-US" w:eastAsia="zh-CN" w:bidi="ar-SA"/>
        </w:rPr>
      </w:pPr>
      <w:r>
        <w:rPr>
          <w:rFonts w:hint="eastAsia" w:ascii="仿宋_GB2312" w:hAnsi="仿宋_GB2312" w:eastAsia="仿宋_GB2312" w:cs="仿宋_GB2312"/>
          <w:color w:val="000000"/>
          <w:kern w:val="0"/>
          <w:sz w:val="32"/>
          <w:szCs w:val="32"/>
          <w:shd w:val="clear" w:color="auto" w:fill="FFFFFF"/>
          <w:lang w:val="en-US" w:eastAsia="zh-CN" w:bidi="ar-SA"/>
        </w:rPr>
        <w:t>2023年，根据年初工作规划和重点工作，围绕区委、区政府的工作部署，积极履行职责，强化管理，较好地完成了年度工作目标。同时加强预算收支的管理，建立健全内部管理制度，严格内部管理流程，部门整体支出管理得到了提升。2023年度部门整体支出绩效情况如下：</w:t>
      </w:r>
    </w:p>
    <w:p>
      <w:pPr>
        <w:pStyle w:val="12"/>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color w:val="000000"/>
          <w:kern w:val="0"/>
          <w:sz w:val="32"/>
          <w:szCs w:val="32"/>
          <w:shd w:val="clear" w:color="auto" w:fill="FFFFFF"/>
          <w:lang w:val="en-US" w:eastAsia="zh-CN" w:bidi="ar-SA"/>
        </w:rPr>
      </w:pPr>
      <w:r>
        <w:rPr>
          <w:rFonts w:hint="eastAsia" w:ascii="仿宋_GB2312" w:hAnsi="仿宋_GB2312" w:eastAsia="仿宋_GB2312" w:cs="仿宋_GB2312"/>
          <w:b w:val="0"/>
          <w:bCs w:val="0"/>
          <w:color w:val="000000"/>
          <w:kern w:val="0"/>
          <w:sz w:val="32"/>
          <w:szCs w:val="32"/>
          <w:shd w:val="clear" w:color="auto" w:fill="FFFFFF"/>
          <w:lang w:val="en-US" w:eastAsia="zh-CN" w:bidi="ar-SA"/>
        </w:rPr>
        <w:t>（一）建筑市场管理强力推进。我区公开招标开标的项目共计6个，其中工程总承包（EPC）招标5个，施工招标1个，招标金额共计约1.06亿元，各项目招标过程基本顺利，未接到相关投诉。一是严格招投标管理。联合发改局集中进行标后稽查，下发了标后稽查整改通知单7份。对代理行为不规范的招标代理机构进行约谈及通报批评1次；二是实现了实名制管理100%覆盖，对于考勤率不到70%的关键岗位人员进行红黄牌警告共计9次；三是依法依规处理违规项目，下发停工通知单</w:t>
      </w:r>
      <w:r>
        <w:rPr>
          <w:rFonts w:hint="default" w:ascii="仿宋_GB2312" w:hAnsi="仿宋_GB2312" w:eastAsia="仿宋_GB2312" w:cs="仿宋_GB2312"/>
          <w:b w:val="0"/>
          <w:bCs w:val="0"/>
          <w:color w:val="000000"/>
          <w:kern w:val="0"/>
          <w:sz w:val="32"/>
          <w:szCs w:val="32"/>
          <w:shd w:val="clear" w:color="auto" w:fill="FFFFFF"/>
          <w:lang w:val="en" w:eastAsia="zh-CN" w:bidi="ar-SA"/>
        </w:rPr>
        <w:t>6</w:t>
      </w:r>
      <w:r>
        <w:rPr>
          <w:rFonts w:hint="eastAsia" w:ascii="仿宋_GB2312" w:hAnsi="仿宋_GB2312" w:eastAsia="仿宋_GB2312" w:cs="仿宋_GB2312"/>
          <w:b w:val="0"/>
          <w:bCs w:val="0"/>
          <w:color w:val="000000"/>
          <w:kern w:val="0"/>
          <w:sz w:val="32"/>
          <w:szCs w:val="32"/>
          <w:shd w:val="clear" w:color="auto" w:fill="FFFFFF"/>
          <w:lang w:val="en-US" w:eastAsia="zh-CN" w:bidi="ar-SA"/>
        </w:rPr>
        <w:t>份，对相关责任人进行约谈1次；四是要求招标文件内进度款支付比例设置不低于80%，从源头预防企业垫资，减轻拖欠农民工工资风险；五是逐步完善审批程序，优化营商环境。目前，共完成51个审批事项，其中初步设计审批7个、图审10个、质安注册监督并联施工许可核发7个、联合验收3个、竣工验收备案7个、房屋租赁备案21个。为19个企业51个审批事项提供了帮代办服务。</w:t>
      </w:r>
    </w:p>
    <w:p>
      <w:pPr>
        <w:pStyle w:val="12"/>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color w:val="000000"/>
          <w:kern w:val="0"/>
          <w:sz w:val="32"/>
          <w:szCs w:val="32"/>
          <w:shd w:val="clear" w:color="auto" w:fill="FFFFFF"/>
          <w:lang w:val="en-US" w:eastAsia="zh-CN" w:bidi="ar-SA"/>
        </w:rPr>
      </w:pPr>
      <w:r>
        <w:rPr>
          <w:rFonts w:hint="eastAsia" w:ascii="仿宋_GB2312" w:hAnsi="仿宋_GB2312" w:eastAsia="仿宋_GB2312" w:cs="仿宋_GB2312"/>
          <w:b w:val="0"/>
          <w:bCs w:val="0"/>
          <w:color w:val="000000"/>
          <w:kern w:val="0"/>
          <w:sz w:val="32"/>
          <w:szCs w:val="32"/>
          <w:shd w:val="clear" w:color="auto" w:fill="FFFFFF"/>
          <w:lang w:val="en-US" w:eastAsia="zh-CN" w:bidi="ar-SA"/>
        </w:rPr>
        <w:t>（二）民生工程迅速推进。一是持续推进老旧小区改造项目。2023年君山区老旧小区改造共15个项目，涉及22个小区，包括10个省级民生实施项目，已全部完工；二是积极推进中心城区居民餐厨油烟直排净化处理项目。改造油烟直排设备538户，油烟净化设备2台，排烟道800多米；三是稳步推进农村危房改造项目。改造任务30户，目前已全部完成竣工验收</w:t>
      </w:r>
      <w:r>
        <w:rPr>
          <w:rFonts w:hint="default" w:ascii="仿宋_GB2312" w:hAnsi="仿宋_GB2312" w:eastAsia="仿宋_GB2312" w:cs="仿宋_GB2312"/>
          <w:b w:val="0"/>
          <w:bCs w:val="0"/>
          <w:color w:val="000000"/>
          <w:kern w:val="0"/>
          <w:sz w:val="32"/>
          <w:szCs w:val="32"/>
          <w:shd w:val="clear" w:color="auto" w:fill="FFFFFF"/>
          <w:lang w:val="en" w:eastAsia="zh-CN" w:bidi="ar-SA"/>
        </w:rPr>
        <w:t>和</w:t>
      </w:r>
      <w:r>
        <w:rPr>
          <w:rFonts w:hint="eastAsia" w:ascii="仿宋_GB2312" w:hAnsi="仿宋_GB2312" w:eastAsia="仿宋_GB2312" w:cs="仿宋_GB2312"/>
          <w:b w:val="0"/>
          <w:bCs w:val="0"/>
          <w:color w:val="000000"/>
          <w:kern w:val="0"/>
          <w:sz w:val="32"/>
          <w:szCs w:val="32"/>
          <w:shd w:val="clear" w:color="auto" w:fill="FFFFFF"/>
          <w:lang w:val="en-US" w:eastAsia="zh-CN" w:bidi="ar-SA"/>
        </w:rPr>
        <w:t>资金拨付。四是加快推进君山垸城乡供水一体化项目。该项目总投资4.5亿元，已于今年2月1日正式移交项目公司岳阳核心水务有限公司运营。目前厂区</w:t>
      </w:r>
      <w:r>
        <w:rPr>
          <w:rFonts w:hint="default" w:ascii="仿宋_GB2312" w:hAnsi="仿宋_GB2312" w:eastAsia="仿宋_GB2312" w:cs="仿宋_GB2312"/>
          <w:b w:val="0"/>
          <w:bCs w:val="0"/>
          <w:color w:val="000000"/>
          <w:kern w:val="0"/>
          <w:sz w:val="32"/>
          <w:szCs w:val="32"/>
          <w:shd w:val="clear" w:color="auto" w:fill="FFFFFF"/>
          <w:lang w:val="en" w:eastAsia="zh-CN" w:bidi="ar-SA"/>
        </w:rPr>
        <w:t>改扩建已全部完工，正在进行</w:t>
      </w:r>
      <w:r>
        <w:rPr>
          <w:rFonts w:hint="eastAsia" w:ascii="仿宋_GB2312" w:hAnsi="仿宋_GB2312" w:eastAsia="仿宋_GB2312" w:cs="仿宋_GB2312"/>
          <w:b w:val="0"/>
          <w:bCs w:val="0"/>
          <w:color w:val="000000"/>
          <w:kern w:val="0"/>
          <w:sz w:val="32"/>
          <w:szCs w:val="32"/>
          <w:shd w:val="clear" w:color="auto" w:fill="FFFFFF"/>
          <w:lang w:val="en-US" w:eastAsia="zh-CN" w:bidi="ar-SA"/>
        </w:rPr>
        <w:t>设备</w:t>
      </w:r>
      <w:r>
        <w:rPr>
          <w:rFonts w:hint="default" w:ascii="仿宋_GB2312" w:hAnsi="仿宋_GB2312" w:eastAsia="仿宋_GB2312" w:cs="仿宋_GB2312"/>
          <w:b w:val="0"/>
          <w:bCs w:val="0"/>
          <w:color w:val="000000"/>
          <w:kern w:val="0"/>
          <w:sz w:val="32"/>
          <w:szCs w:val="32"/>
          <w:shd w:val="clear" w:color="auto" w:fill="FFFFFF"/>
          <w:lang w:val="en" w:eastAsia="zh-CN" w:bidi="ar-SA"/>
        </w:rPr>
        <w:t>调试，供水</w:t>
      </w:r>
      <w:r>
        <w:rPr>
          <w:rFonts w:hint="eastAsia" w:ascii="仿宋_GB2312" w:hAnsi="仿宋_GB2312" w:eastAsia="仿宋_GB2312" w:cs="仿宋_GB2312"/>
          <w:b w:val="0"/>
          <w:bCs w:val="0"/>
          <w:color w:val="000000"/>
          <w:kern w:val="0"/>
          <w:sz w:val="32"/>
          <w:szCs w:val="32"/>
          <w:shd w:val="clear" w:color="auto" w:fill="FFFFFF"/>
          <w:lang w:val="en-US" w:eastAsia="zh-CN" w:bidi="ar-SA"/>
        </w:rPr>
        <w:t>管网建设已</w:t>
      </w:r>
      <w:r>
        <w:rPr>
          <w:rFonts w:hint="default" w:ascii="仿宋_GB2312" w:hAnsi="仿宋_GB2312" w:eastAsia="仿宋_GB2312" w:cs="仿宋_GB2312"/>
          <w:b w:val="0"/>
          <w:bCs w:val="0"/>
          <w:color w:val="000000"/>
          <w:kern w:val="0"/>
          <w:sz w:val="32"/>
          <w:szCs w:val="32"/>
          <w:shd w:val="clear" w:color="auto" w:fill="FFFFFF"/>
          <w:lang w:val="en" w:eastAsia="zh-CN" w:bidi="ar-SA"/>
        </w:rPr>
        <w:t>全部完工，新改建</w:t>
      </w:r>
      <w:r>
        <w:rPr>
          <w:rFonts w:hint="eastAsia" w:ascii="仿宋_GB2312" w:hAnsi="仿宋_GB2312" w:eastAsia="仿宋_GB2312" w:cs="仿宋_GB2312"/>
          <w:b w:val="0"/>
          <w:bCs w:val="0"/>
          <w:color w:val="000000"/>
          <w:kern w:val="0"/>
          <w:sz w:val="32"/>
          <w:szCs w:val="32"/>
          <w:shd w:val="clear" w:color="auto" w:fill="FFFFFF"/>
          <w:lang w:val="en-US" w:eastAsia="zh-CN" w:bidi="ar-SA"/>
        </w:rPr>
        <w:t>供水管网158公里。</w:t>
      </w:r>
    </w:p>
    <w:p>
      <w:pPr>
        <w:pStyle w:val="12"/>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color w:val="000000"/>
          <w:kern w:val="0"/>
          <w:sz w:val="32"/>
          <w:szCs w:val="32"/>
          <w:shd w:val="clear" w:color="auto" w:fill="FFFFFF"/>
          <w:lang w:val="en-US" w:eastAsia="zh-CN" w:bidi="ar-SA"/>
        </w:rPr>
      </w:pPr>
      <w:r>
        <w:rPr>
          <w:rFonts w:hint="eastAsia" w:ascii="仿宋_GB2312" w:hAnsi="仿宋_GB2312" w:eastAsia="仿宋_GB2312" w:cs="仿宋_GB2312"/>
          <w:b w:val="0"/>
          <w:bCs w:val="0"/>
          <w:color w:val="000000"/>
          <w:kern w:val="0"/>
          <w:sz w:val="32"/>
          <w:szCs w:val="32"/>
          <w:shd w:val="clear" w:color="auto" w:fill="FFFFFF"/>
          <w:lang w:val="en-US" w:eastAsia="zh-CN" w:bidi="ar-SA"/>
        </w:rPr>
        <w:t>（三）住房保障和房地产市场维稳维保。一是规范发放租赁补贴。2023年度君山区计划发放租赁补贴1098户，经社区初审、镇级复审工作，并联合民政、不动产中心进行低保和住房审核，完成共计约280万元；二是稳步推进住房保障项目建设。2023年保租房项目2个共108套、公租房项目4个共480套。今年已全部开工；三是加强项目建设监管。我区在建项目2个，其中竣工项目1个，目前仍有1个在建项目；本年有销售的楼盘14个，商品房销售面积1.23万平方米，129套，其中住宅销售面积1.02万平方米，89套，非住宅销售面积0.21万平方面米，40套；四是稳步推进购房补贴发放工作。第一批次受理110户，已补贴到位金额253万元；第二批次受理321户，补贴金额673万元；五是扎实开展垃圾分类、国家卫生城市、国家文明城市等专项宣传活动，制作、张贴宣传手册、海报等共1000余份。</w:t>
      </w:r>
    </w:p>
    <w:p>
      <w:pPr>
        <w:pStyle w:val="12"/>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 w:val="0"/>
          <w:bCs w:val="0"/>
          <w:color w:val="000000"/>
          <w:kern w:val="0"/>
          <w:sz w:val="32"/>
          <w:szCs w:val="32"/>
          <w:shd w:val="clear" w:color="auto" w:fill="FFFFFF"/>
          <w:lang w:val="en-US" w:eastAsia="zh-CN" w:bidi="ar-SA"/>
        </w:rPr>
      </w:pPr>
      <w:r>
        <w:rPr>
          <w:rFonts w:hint="eastAsia" w:ascii="仿宋_GB2312" w:hAnsi="仿宋_GB2312" w:eastAsia="仿宋_GB2312" w:cs="仿宋_GB2312"/>
          <w:b w:val="0"/>
          <w:bCs w:val="0"/>
          <w:color w:val="000000"/>
          <w:kern w:val="0"/>
          <w:sz w:val="32"/>
          <w:szCs w:val="32"/>
          <w:shd w:val="clear" w:color="auto" w:fill="FFFFFF"/>
          <w:lang w:val="en-US" w:eastAsia="zh-CN" w:bidi="ar-SA"/>
        </w:rPr>
        <w:t>（四）深入开展居民自建房安全专项整治。我区整治库中C、D级经营性居民自建房整治任务28栋，已整治销号28栋，销号率100%，鉴定为C、D级的非经营性自建房386栋，均已采取管控措施，正在进行工程销号，系统已销号99户。</w:t>
      </w:r>
    </w:p>
    <w:p>
      <w:pPr>
        <w:pStyle w:val="12"/>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仿宋_GB2312" w:hAnsi="仿宋_GB2312" w:eastAsia="仿宋_GB2312" w:cs="仿宋_GB2312"/>
          <w:b w:val="0"/>
          <w:bCs w:val="0"/>
          <w:color w:val="000000"/>
          <w:kern w:val="0"/>
          <w:sz w:val="32"/>
          <w:szCs w:val="32"/>
          <w:shd w:val="clear" w:color="auto" w:fill="FFFFFF"/>
          <w:lang w:val="en-US" w:eastAsia="zh-CN" w:bidi="ar-SA"/>
        </w:rPr>
      </w:pPr>
      <w:r>
        <w:rPr>
          <w:rFonts w:hint="eastAsia" w:ascii="仿宋_GB2312" w:hAnsi="仿宋_GB2312" w:eastAsia="仿宋_GB2312" w:cs="仿宋_GB2312"/>
          <w:b w:val="0"/>
          <w:bCs w:val="0"/>
          <w:color w:val="000000"/>
          <w:kern w:val="0"/>
          <w:sz w:val="32"/>
          <w:szCs w:val="32"/>
          <w:shd w:val="clear" w:color="auto" w:fill="FFFFFF"/>
          <w:lang w:val="en-US" w:eastAsia="zh-CN" w:bidi="ar-SA"/>
        </w:rPr>
        <w:t>（五）加强全区建筑质量安全管理。全年我区项目共计12个（含往期结转项目3个），完成质量安全受监手续项目9个，录入监督信息平台项目9个，完成竣工验收2个（含往期结转项目2个），总建筑面积66087.58㎡。一是按照“四不两直”具体要求对全区在建项目进行每月的现场监督检查。共下发整改通知书15份,停工整改4份；二是持续落实工地扬尘治理工作。对照“六个100%”的标准，共计开展扬尘污染综合检查12次，累计签发整改通知书5份、责令停工整改项目4个、约谈项目1个、约谈责任单位1家；三是规范开展消防审查验收。共完成消防验收14件，消防设计审查5件。责令7家养老机构进行备案，并要求完成消防验收手续；抽查了5个项目均未发现消防安全问题；四是积极推动安全生产月、质量月活动。2023年6月是第二十二个“安全生产月”,我局制定了建筑工程安全生产月活动方案，6月16日区安委会组织开展了“安全宣传咨询日”线下活动，6月20日，动员全区在建项目工地施工、管理人员在冷链物流项目工地进行了安全月现场消防应急救援大演练活动，提升从业人员安全意识。</w:t>
      </w:r>
    </w:p>
    <w:p>
      <w:pPr>
        <w:pStyle w:val="12"/>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lang w:val="en-US" w:eastAsia="zh-CN"/>
        </w:rPr>
      </w:pPr>
      <w:r>
        <w:rPr>
          <w:rFonts w:hint="eastAsia" w:ascii="仿宋_GB2312" w:hAnsi="仿宋_GB2312" w:eastAsia="仿宋_GB2312" w:cs="仿宋_GB2312"/>
          <w:b w:val="0"/>
          <w:bCs w:val="0"/>
          <w:color w:val="000000"/>
          <w:kern w:val="0"/>
          <w:sz w:val="32"/>
          <w:szCs w:val="32"/>
          <w:shd w:val="clear" w:color="auto" w:fill="FFFFFF"/>
          <w:lang w:val="en-US" w:eastAsia="zh-CN" w:bidi="ar-SA"/>
        </w:rPr>
        <w:t>（六）全面深化环保整治专项工作。一是积极推进乡镇污水支管网改造工程。已完成新建管网5.9公里，超额完成年度3.9公里的建设任务；城区管网建设方面，已完成中心城区林角佬油脂厂片区污水管网改造项目，1.5公里管网建设任务；二是积极推进城区第二污水处理厂设备改造项目，总投资1580万元，目前项目已基本完工；三是加快推进排污口整治工作。截至9月底，通过管网建设等工作已完成5处排污口整治。</w:t>
      </w:r>
    </w:p>
    <w:p>
      <w:pPr>
        <w:pStyle w:val="10"/>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七、存在的问题及原因分析</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_GB2312" w:hAnsi="仿宋_GB2312" w:eastAsia="仿宋_GB2312" w:cs="仿宋_GB2312"/>
          <w:b w:val="0"/>
          <w:bCs w:val="0"/>
          <w:color w:val="000000"/>
          <w:kern w:val="0"/>
          <w:sz w:val="32"/>
          <w:szCs w:val="32"/>
          <w:shd w:val="clear" w:color="auto" w:fill="FFFFFF"/>
          <w:lang w:val="en-US" w:eastAsia="zh-CN" w:bidi="ar-SA"/>
        </w:rPr>
      </w:pPr>
      <w:r>
        <w:rPr>
          <w:rFonts w:hint="eastAsia" w:ascii="仿宋_GB2312" w:hAnsi="仿宋_GB2312" w:eastAsia="仿宋_GB2312" w:cs="仿宋_GB2312"/>
          <w:b w:val="0"/>
          <w:bCs w:val="0"/>
          <w:color w:val="000000"/>
          <w:kern w:val="0"/>
          <w:sz w:val="32"/>
          <w:szCs w:val="32"/>
          <w:shd w:val="clear" w:color="auto" w:fill="FFFFFF"/>
          <w:lang w:val="en-US" w:eastAsia="zh-CN" w:bidi="ar-SA"/>
        </w:rPr>
        <w:t>1、预算资金执行有待加强。年初未作预算安排，但本年仍实际发生了少部分支出，进一步加强全局预算资金使用情况的的绩效考评工作，特别是对财政预算专项资金加强审计工作。</w:t>
      </w:r>
    </w:p>
    <w:p>
      <w:pPr>
        <w:keepNext w:val="0"/>
        <w:keepLines w:val="0"/>
        <w:pageBreakBefore w:val="0"/>
        <w:kinsoku/>
        <w:wordWrap/>
        <w:overflowPunct/>
        <w:topLinePunct w:val="0"/>
        <w:autoSpaceDE/>
        <w:bidi w:val="0"/>
        <w:adjustRightInd/>
        <w:snapToGrid/>
        <w:spacing w:line="240" w:lineRule="auto"/>
        <w:ind w:right="280" w:rightChars="100" w:firstLine="320" w:firstLineChars="100"/>
        <w:rPr>
          <w:rFonts w:hint="eastAsia" w:ascii="仿宋_GB2312" w:hAnsi="仿宋_GB2312" w:eastAsia="仿宋_GB2312" w:cs="仿宋_GB2312"/>
          <w:b w:val="0"/>
          <w:bCs w:val="0"/>
          <w:color w:val="000000"/>
          <w:kern w:val="0"/>
          <w:sz w:val="32"/>
          <w:szCs w:val="32"/>
          <w:shd w:val="clear" w:color="auto" w:fill="FFFFFF"/>
          <w:lang w:val="en-US" w:eastAsia="zh-CN" w:bidi="ar-SA"/>
        </w:rPr>
      </w:pPr>
      <w:r>
        <w:rPr>
          <w:rFonts w:hint="eastAsia" w:ascii="仿宋_GB2312" w:hAnsi="仿宋_GB2312" w:eastAsia="仿宋_GB2312" w:cs="仿宋_GB2312"/>
          <w:b w:val="0"/>
          <w:bCs w:val="0"/>
          <w:color w:val="000000"/>
          <w:kern w:val="0"/>
          <w:sz w:val="32"/>
          <w:szCs w:val="32"/>
          <w:shd w:val="clear" w:color="auto" w:fill="FFFFFF"/>
          <w:lang w:val="en-US" w:eastAsia="zh-CN" w:bidi="ar-SA"/>
        </w:rPr>
        <w:t>2、资产管理需完善，没有建立严格的验收保管报废等手续，固定资产管理制度有待进一步完善。</w:t>
      </w:r>
    </w:p>
    <w:p>
      <w:pPr>
        <w:keepNext w:val="0"/>
        <w:keepLines w:val="0"/>
        <w:pageBreakBefore w:val="0"/>
        <w:widowControl/>
        <w:numPr>
          <w:ilvl w:val="0"/>
          <w:numId w:val="5"/>
        </w:numPr>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下一步改进措施</w:t>
      </w:r>
    </w:p>
    <w:p>
      <w:pPr>
        <w:pStyle w:val="4"/>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hd w:val="clear" w:fill="FFFFFF"/>
        <w:spacing w:before="0" w:beforeAutospacing="0" w:after="420" w:afterAutospacing="0" w:line="450" w:lineRule="atLeast"/>
        <w:ind w:left="0" w:right="0" w:firstLine="643"/>
        <w:jc w:val="left"/>
        <w:rPr>
          <w:rFonts w:ascii="Calibri" w:hAnsi="Calibri" w:cs="Calibri"/>
          <w:i w:val="0"/>
          <w:iCs w:val="0"/>
          <w:caps w:val="0"/>
          <w:color w:val="333333"/>
          <w:spacing w:val="0"/>
          <w:sz w:val="28"/>
          <w:szCs w:val="28"/>
        </w:rPr>
      </w:pPr>
      <w:r>
        <w:rPr>
          <w:rFonts w:ascii="楷体" w:hAnsi="楷体" w:eastAsia="楷体" w:cs="楷体"/>
          <w:b/>
          <w:bCs/>
          <w:i w:val="0"/>
          <w:iCs w:val="0"/>
          <w:caps w:val="0"/>
          <w:color w:val="333333"/>
          <w:spacing w:val="0"/>
          <w:sz w:val="32"/>
          <w:szCs w:val="32"/>
          <w:shd w:val="clear" w:fill="FFFFFF"/>
        </w:rPr>
        <w:t>强化预算管理，定期开展执行分析</w:t>
      </w:r>
      <w:r>
        <w:rPr>
          <w:rFonts w:hint="eastAsia" w:ascii="楷体" w:hAnsi="楷体" w:eastAsia="楷体" w:cs="楷体"/>
          <w:b/>
          <w:bCs/>
          <w:i w:val="0"/>
          <w:iCs w:val="0"/>
          <w:caps w:val="0"/>
          <w:color w:val="333333"/>
          <w:spacing w:val="0"/>
          <w:sz w:val="32"/>
          <w:szCs w:val="32"/>
          <w:shd w:val="clear" w:fill="FFFFFF"/>
          <w:lang w:eastAsia="zh-CN"/>
        </w:rPr>
        <w:t>。</w:t>
      </w:r>
      <w:r>
        <w:rPr>
          <w:rFonts w:hint="eastAsia" w:ascii="仿宋_GB2312" w:hAnsi="仿宋_GB2312" w:eastAsia="仿宋_GB2312" w:cs="仿宋_GB2312"/>
          <w:b w:val="0"/>
          <w:bCs w:val="0"/>
          <w:color w:val="000000"/>
          <w:kern w:val="0"/>
          <w:sz w:val="32"/>
          <w:szCs w:val="32"/>
          <w:shd w:val="clear" w:color="auto" w:fill="FFFFFF"/>
          <w:lang w:val="en-US" w:eastAsia="zh-CN" w:bidi="ar-SA"/>
        </w:rPr>
        <w:t>一是通过定期对项目实施和预算执行情况进行梳理，及时掌握项目进度，督促项目实施单位早启动、早实施、早验收，对符合条件的项目按照项目进度支付相关款项，将预算资金管理贯穿于项目实施全过程中。二是针对项目跨年度的问题，争取项目尽早计划、尽早铺排、尽早开展，项目结束后第一时间完成费用结算。对未启动项目及时分析原因，根据资金使用情况调整下年预算安排。三是严格项目管理，加强项目监管，重点对政府购买服务合同履约实施跟踪监管。</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420" w:afterAutospacing="0" w:line="450" w:lineRule="atLeast"/>
        <w:ind w:right="0" w:rightChars="0" w:firstLine="321" w:firstLineChars="100"/>
        <w:jc w:val="left"/>
        <w:outlineLvl w:val="1"/>
        <w:rPr>
          <w:rFonts w:hint="default" w:ascii="仿宋_GB2312" w:hAnsi="仿宋_GB2312" w:eastAsia="仿宋_GB2312" w:cs="仿宋_GB2312"/>
          <w:b w:val="0"/>
          <w:bCs w:val="0"/>
          <w:color w:val="000000"/>
          <w:kern w:val="0"/>
          <w:sz w:val="32"/>
          <w:szCs w:val="32"/>
          <w:shd w:val="clear" w:color="auto" w:fill="FFFFFF"/>
          <w:lang w:val="en-US" w:eastAsia="zh-CN" w:bidi="ar-SA"/>
        </w:rPr>
      </w:pPr>
      <w:r>
        <w:rPr>
          <w:rFonts w:ascii="楷体" w:hAnsi="楷体" w:eastAsia="楷体" w:cs="楷体"/>
          <w:b/>
          <w:bCs/>
          <w:i w:val="0"/>
          <w:iCs w:val="0"/>
          <w:caps w:val="0"/>
          <w:color w:val="333333"/>
          <w:spacing w:val="0"/>
          <w:sz w:val="32"/>
          <w:szCs w:val="32"/>
          <w:shd w:val="clear" w:fill="FFFFFF"/>
        </w:rPr>
        <w:t>（二）规范资产管理，全面组织资产清查</w:t>
      </w:r>
      <w:r>
        <w:rPr>
          <w:rFonts w:hint="eastAsia" w:ascii="楷体" w:hAnsi="楷体" w:eastAsia="楷体" w:cs="楷体"/>
          <w:b/>
          <w:bCs/>
          <w:i w:val="0"/>
          <w:iCs w:val="0"/>
          <w:caps w:val="0"/>
          <w:color w:val="333333"/>
          <w:spacing w:val="0"/>
          <w:sz w:val="32"/>
          <w:szCs w:val="32"/>
          <w:shd w:val="clear" w:fill="FFFFFF"/>
          <w:lang w:eastAsia="zh-CN"/>
        </w:rPr>
        <w:t>。</w:t>
      </w:r>
      <w:r>
        <w:rPr>
          <w:rFonts w:hint="eastAsia" w:ascii="仿宋_GB2312" w:hAnsi="仿宋_GB2312" w:eastAsia="仿宋_GB2312" w:cs="仿宋_GB2312"/>
          <w:b w:val="0"/>
          <w:bCs w:val="0"/>
          <w:color w:val="000000"/>
          <w:kern w:val="0"/>
          <w:sz w:val="32"/>
          <w:szCs w:val="32"/>
          <w:shd w:val="clear" w:color="auto" w:fill="FFFFFF"/>
          <w:lang w:val="en-US" w:eastAsia="zh-CN" w:bidi="ar-SA"/>
        </w:rPr>
        <w:t>一是认真做好固定资产报损、报废的管理工作。加强报损、报废资产的复核工作，严格把好报废关。研究解决多年积累下来丢失的固定资产挂账问题，做好固定资产管理的季报、年报及产权登记工作。二是及时订正或调整有问题的账目，确保账账相符。条件具备时在一定范围内组织开展资产账、物核对和全方位组织资产清查工作，摸清家底</w:t>
      </w:r>
      <w:r>
        <w:rPr>
          <w:rFonts w:ascii="仿宋" w:hAnsi="仿宋" w:eastAsia="仿宋" w:cs="仿宋"/>
          <w:i w:val="0"/>
          <w:iCs w:val="0"/>
          <w:caps w:val="0"/>
          <w:color w:val="333333"/>
          <w:spacing w:val="0"/>
          <w:sz w:val="32"/>
          <w:szCs w:val="32"/>
          <w:shd w:val="clear" w:fill="FFFFFF"/>
        </w:rPr>
        <w:t>。</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九、部门整体支出绩效自评结果拟应用和公开情况</w:t>
      </w:r>
    </w:p>
    <w:p>
      <w:pPr>
        <w:pStyle w:val="2"/>
        <w:ind w:firstLine="560" w:firstLineChars="175"/>
        <w:rPr>
          <w:rFonts w:hint="default"/>
        </w:rPr>
      </w:pPr>
      <w:r>
        <w:rPr>
          <w:rFonts w:hint="eastAsia" w:ascii="仿宋_GB2312" w:hAnsi="仿宋_GB2312" w:eastAsia="仿宋_GB2312" w:cs="仿宋_GB2312"/>
          <w:b w:val="0"/>
          <w:bCs w:val="0"/>
          <w:color w:val="000000"/>
          <w:kern w:val="0"/>
          <w:sz w:val="32"/>
          <w:szCs w:val="32"/>
          <w:shd w:val="clear" w:color="auto" w:fill="FFFFFF"/>
          <w:lang w:val="en-US" w:eastAsia="zh-CN" w:bidi="ar-SA"/>
        </w:rPr>
        <w:t>区住建局将根据自评结果进一步规范管理，针对绩效评价过程中发现的问题，有针对性地采取措施，改善管理。同时，将按照区财政局统一部署，在规定时限内对</w:t>
      </w:r>
      <w:r>
        <w:rPr>
          <w:rFonts w:hint="default" w:ascii="仿宋_GB2312" w:hAnsi="仿宋_GB2312" w:eastAsia="仿宋_GB2312" w:cs="仿宋_GB2312"/>
          <w:b w:val="0"/>
          <w:bCs w:val="0"/>
          <w:color w:val="000000"/>
          <w:kern w:val="0"/>
          <w:sz w:val="32"/>
          <w:szCs w:val="32"/>
          <w:shd w:val="clear" w:color="auto" w:fill="FFFFFF"/>
          <w:lang w:val="en-US" w:eastAsia="zh-CN" w:bidi="ar-SA"/>
        </w:rPr>
        <w:t>202</w:t>
      </w:r>
      <w:r>
        <w:rPr>
          <w:rFonts w:hint="eastAsia" w:ascii="仿宋_GB2312" w:hAnsi="仿宋_GB2312" w:eastAsia="仿宋_GB2312" w:cs="仿宋_GB2312"/>
          <w:b w:val="0"/>
          <w:bCs w:val="0"/>
          <w:color w:val="000000"/>
          <w:kern w:val="0"/>
          <w:sz w:val="32"/>
          <w:szCs w:val="32"/>
          <w:shd w:val="clear" w:color="auto" w:fill="FFFFFF"/>
          <w:lang w:val="en-US" w:eastAsia="zh-CN" w:bidi="ar-SA"/>
        </w:rPr>
        <w:t>3年部门整体支出绩效自评报告在政府门户网站进行公开。</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其他需要说明的情况</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无</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报告需要以下附件：</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部门整体支出绩效评价基础数据表</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部门整体支出绩效自评表</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项目支出绩效自评表（一个一级项目支出一张表）</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政府性基金预算支出情况表</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国有资本经营预算支出情况表</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社会保险基金预算支出情况表</w:t>
      </w:r>
    </w:p>
    <w:p>
      <w:pPr>
        <w:keepNext w:val="0"/>
        <w:keepLines w:val="0"/>
        <w:pageBreakBefore w:val="0"/>
        <w:widowControl/>
        <w:kinsoku/>
        <w:wordWrap/>
        <w:overflowPunct/>
        <w:topLinePunct w:val="0"/>
        <w:autoSpaceDE/>
        <w:autoSpaceDN/>
        <w:bidi w:val="0"/>
        <w:adjustRightInd/>
        <w:snapToGrid/>
        <w:spacing w:line="640" w:lineRule="exact"/>
        <w:jc w:val="both"/>
        <w:textAlignment w:val="auto"/>
        <w:rPr>
          <w:rFonts w:hint="eastAsia" w:ascii="黑体" w:hAnsi="黑体" w:eastAsia="黑体" w:cs="黑体"/>
          <w:sz w:val="32"/>
          <w:szCs w:val="32"/>
          <w:highlight w:val="none"/>
          <w:lang w:val="en-US" w:eastAsia="zh-CN"/>
        </w:rPr>
      </w:pPr>
      <w:r>
        <w:rPr>
          <w:rFonts w:hint="eastAsia" w:ascii="仿宋_GB2312" w:hAnsi="仿宋_GB2312" w:eastAsia="仿宋_GB2312" w:cs="仿宋_GB2312"/>
          <w:sz w:val="32"/>
          <w:szCs w:val="32"/>
          <w:highlight w:val="none"/>
        </w:rPr>
        <w:br w:type="page"/>
      </w: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5</w:t>
      </w:r>
    </w:p>
    <w:p>
      <w:pPr>
        <w:spacing w:before="120" w:beforeLines="50" w:after="120" w:afterLines="50"/>
        <w:jc w:val="center"/>
        <w:rPr>
          <w:rFonts w:hint="eastAsia" w:ascii="方正小标宋简体" w:hAnsi="方正小标宋简体" w:eastAsia="方正小标宋简体" w:cs="方正小标宋简体"/>
          <w:spacing w:val="-6"/>
          <w:sz w:val="36"/>
          <w:szCs w:val="36"/>
          <w:highlight w:val="none"/>
        </w:rPr>
      </w:pPr>
      <w:r>
        <w:rPr>
          <w:rFonts w:hint="eastAsia" w:ascii="方正小标宋简体" w:hAnsi="方正小标宋简体" w:eastAsia="方正小标宋简体" w:cs="方正小标宋简体"/>
          <w:sz w:val="36"/>
          <w:szCs w:val="36"/>
          <w:highlight w:val="none"/>
        </w:rPr>
        <w:t>部门整体支出</w:t>
      </w:r>
      <w:r>
        <w:rPr>
          <w:rFonts w:hint="eastAsia" w:ascii="方正小标宋简体" w:hAnsi="方正小标宋简体" w:eastAsia="方正小标宋简体" w:cs="方正小标宋简体"/>
          <w:spacing w:val="-6"/>
          <w:sz w:val="36"/>
          <w:szCs w:val="36"/>
          <w:highlight w:val="none"/>
        </w:rPr>
        <w:t>绩效自评工作考核评分表</w:t>
      </w:r>
    </w:p>
    <w:tbl>
      <w:tblPr>
        <w:tblStyle w:val="7"/>
        <w:tblW w:w="9941" w:type="dxa"/>
        <w:jc w:val="center"/>
        <w:tblLayout w:type="fixed"/>
        <w:tblCellMar>
          <w:top w:w="0" w:type="dxa"/>
          <w:left w:w="108" w:type="dxa"/>
          <w:bottom w:w="0" w:type="dxa"/>
          <w:right w:w="108" w:type="dxa"/>
        </w:tblCellMar>
      </w:tblPr>
      <w:tblGrid>
        <w:gridCol w:w="745"/>
        <w:gridCol w:w="1174"/>
        <w:gridCol w:w="5000"/>
        <w:gridCol w:w="3022"/>
      </w:tblGrid>
      <w:tr>
        <w:tblPrEx>
          <w:tblCellMar>
            <w:top w:w="0" w:type="dxa"/>
            <w:left w:w="108" w:type="dxa"/>
            <w:bottom w:w="0" w:type="dxa"/>
            <w:right w:w="108" w:type="dxa"/>
          </w:tblCellMar>
        </w:tblPrEx>
        <w:trPr>
          <w:tblHeader/>
          <w:jc w:val="center"/>
        </w:trPr>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一级指标</w:t>
            </w: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二级指标</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评分标准</w:t>
            </w:r>
          </w:p>
        </w:tc>
        <w:tc>
          <w:tcPr>
            <w:tcW w:w="3022"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所需佐证材料</w:t>
            </w:r>
          </w:p>
        </w:tc>
      </w:tr>
      <w:tr>
        <w:tblPrEx>
          <w:tblCellMar>
            <w:top w:w="0" w:type="dxa"/>
            <w:left w:w="108" w:type="dxa"/>
            <w:bottom w:w="0" w:type="dxa"/>
            <w:right w:w="108" w:type="dxa"/>
          </w:tblCellMar>
        </w:tblPrEx>
        <w:trPr>
          <w:jc w:val="center"/>
        </w:trPr>
        <w:tc>
          <w:tcPr>
            <w:tcW w:w="74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布置工作</w:t>
            </w:r>
          </w:p>
          <w:p>
            <w:pPr>
              <w:spacing w:line="300" w:lineRule="exact"/>
              <w:jc w:val="center"/>
              <w:rPr>
                <w:rFonts w:hint="default" w:ascii="Times New Roman" w:hAnsi="Times New Roman" w:eastAsia="仿宋_GB2312" w:cs="Times New Roman"/>
                <w:sz w:val="20"/>
                <w:szCs w:val="20"/>
                <w:highlight w:val="none"/>
              </w:rPr>
            </w:pPr>
          </w:p>
          <w:p>
            <w:pPr>
              <w:spacing w:line="300" w:lineRule="exact"/>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10分</w:t>
            </w:r>
          </w:p>
        </w:tc>
        <w:tc>
          <w:tcPr>
            <w:tcW w:w="1174" w:type="dxa"/>
            <w:tcBorders>
              <w:top w:val="single" w:color="auto" w:sz="4" w:space="0"/>
              <w:left w:val="nil"/>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自评通知</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（8分）</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印发绩效自评通知的得2分，否则不得分。</w:t>
            </w:r>
          </w:p>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按照本规程规定，绩效自评通知包括自评范围、自评主要依据、自评主要内容、自评程序和步骤、有关要求等内容，并附有本通知要求的附件的，得6分；否则缺1项扣1分，最多扣6分。</w:t>
            </w:r>
          </w:p>
        </w:tc>
        <w:tc>
          <w:tcPr>
            <w:tcW w:w="3022"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绩效自评通知盖章的电子版</w:t>
            </w:r>
          </w:p>
        </w:tc>
      </w:tr>
      <w:tr>
        <w:tblPrEx>
          <w:tblCellMar>
            <w:top w:w="0" w:type="dxa"/>
            <w:left w:w="108" w:type="dxa"/>
            <w:bottom w:w="0" w:type="dxa"/>
            <w:right w:w="108" w:type="dxa"/>
          </w:tblCellMar>
        </w:tblPrEx>
        <w:trPr>
          <w:jc w:val="center"/>
        </w:trPr>
        <w:tc>
          <w:tcPr>
            <w:tcW w:w="745" w:type="dxa"/>
            <w:vMerge w:val="continue"/>
            <w:tcBorders>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工作小组</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（2分）</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成立绩效自评工作小组的得2分，否则不得分。</w:t>
            </w:r>
          </w:p>
        </w:tc>
        <w:tc>
          <w:tcPr>
            <w:tcW w:w="3022"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本部门、本单位预算绩效管理领导小组</w:t>
            </w:r>
            <w:r>
              <w:rPr>
                <w:rFonts w:hint="default" w:ascii="Times New Roman" w:hAnsi="Times New Roman" w:eastAsia="仿宋_GB2312" w:cs="Times New Roman"/>
                <w:spacing w:val="0"/>
                <w:sz w:val="20"/>
                <w:szCs w:val="20"/>
                <w:highlight w:val="none"/>
                <w:lang w:val="en-US" w:eastAsia="zh-CN"/>
              </w:rPr>
              <w:t>/</w:t>
            </w:r>
            <w:r>
              <w:rPr>
                <w:rFonts w:hint="default" w:ascii="Times New Roman" w:hAnsi="Times New Roman" w:eastAsia="仿宋_GB2312" w:cs="Times New Roman"/>
                <w:sz w:val="20"/>
                <w:szCs w:val="20"/>
                <w:highlight w:val="none"/>
              </w:rPr>
              <w:t>绩效评价工作小组</w:t>
            </w:r>
            <w:r>
              <w:rPr>
                <w:rFonts w:hint="default" w:ascii="Times New Roman" w:hAnsi="Times New Roman" w:eastAsia="仿宋_GB2312" w:cs="Times New Roman"/>
                <w:sz w:val="20"/>
                <w:szCs w:val="20"/>
                <w:highlight w:val="none"/>
                <w:lang w:eastAsia="zh-CN"/>
              </w:rPr>
              <w:t>有关</w:t>
            </w:r>
            <w:r>
              <w:rPr>
                <w:rFonts w:hint="default" w:ascii="Times New Roman" w:hAnsi="Times New Roman" w:eastAsia="仿宋_GB2312" w:cs="Times New Roman"/>
                <w:spacing w:val="0"/>
                <w:sz w:val="20"/>
                <w:szCs w:val="20"/>
                <w:highlight w:val="none"/>
              </w:rPr>
              <w:t>文件</w:t>
            </w:r>
            <w:r>
              <w:rPr>
                <w:rFonts w:hint="default" w:ascii="Times New Roman" w:hAnsi="Times New Roman" w:eastAsia="仿宋_GB2312" w:cs="Times New Roman"/>
                <w:sz w:val="20"/>
                <w:szCs w:val="20"/>
                <w:highlight w:val="none"/>
              </w:rPr>
              <w:t>盖章的电子版</w:t>
            </w:r>
          </w:p>
        </w:tc>
      </w:tr>
      <w:tr>
        <w:tblPrEx>
          <w:tblCellMar>
            <w:top w:w="0" w:type="dxa"/>
            <w:left w:w="108" w:type="dxa"/>
            <w:bottom w:w="0" w:type="dxa"/>
            <w:right w:w="108" w:type="dxa"/>
          </w:tblCellMar>
        </w:tblPrEx>
        <w:trPr>
          <w:jc w:val="center"/>
        </w:trPr>
        <w:tc>
          <w:tcPr>
            <w:tcW w:w="74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实施评价</w:t>
            </w:r>
          </w:p>
          <w:p>
            <w:pPr>
              <w:spacing w:line="300" w:lineRule="exact"/>
              <w:jc w:val="center"/>
              <w:rPr>
                <w:rFonts w:hint="default" w:ascii="Times New Roman" w:hAnsi="Times New Roman" w:eastAsia="仿宋_GB2312" w:cs="Times New Roman"/>
                <w:sz w:val="20"/>
                <w:szCs w:val="20"/>
                <w:highlight w:val="none"/>
              </w:rPr>
            </w:pP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20分</w:t>
            </w: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单位自查</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（10分）</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eastAsia" w:ascii="Times New Roman" w:hAnsi="Times New Roman" w:eastAsia="仿宋_GB2312" w:cs="Times New Roman"/>
                <w:sz w:val="20"/>
                <w:szCs w:val="20"/>
                <w:highlight w:val="none"/>
                <w:lang w:eastAsia="zh-CN"/>
              </w:rPr>
              <w:t>市级</w:t>
            </w:r>
            <w:r>
              <w:rPr>
                <w:rFonts w:hint="default" w:ascii="Times New Roman" w:hAnsi="Times New Roman" w:eastAsia="仿宋_GB2312" w:cs="Times New Roman"/>
                <w:sz w:val="20"/>
                <w:szCs w:val="20"/>
                <w:highlight w:val="none"/>
              </w:rPr>
              <w:t>预算部门本级和所属单位都要开展绩效自查，转移支付项目单位都要开展绩效自查，</w:t>
            </w:r>
            <w:r>
              <w:rPr>
                <w:rFonts w:hint="eastAsia" w:ascii="Times New Roman" w:hAnsi="Times New Roman" w:eastAsia="仿宋_GB2312" w:cs="Times New Roman"/>
                <w:sz w:val="20"/>
                <w:szCs w:val="20"/>
                <w:highlight w:val="none"/>
                <w:lang w:eastAsia="zh-CN"/>
              </w:rPr>
              <w:t>县、区</w:t>
            </w:r>
            <w:r>
              <w:rPr>
                <w:rFonts w:hint="default" w:ascii="Times New Roman" w:hAnsi="Times New Roman" w:eastAsia="仿宋_GB2312" w:cs="Times New Roman"/>
                <w:sz w:val="20"/>
                <w:szCs w:val="20"/>
                <w:highlight w:val="none"/>
              </w:rPr>
              <w:t>级主管部门都要汇总本区域转移支付情况；以上各项每发现一个单位没有做相应工作的，扣1分，最多扣10分。</w:t>
            </w:r>
          </w:p>
        </w:tc>
        <w:tc>
          <w:tcPr>
            <w:tcW w:w="3022" w:type="dxa"/>
            <w:tcBorders>
              <w:top w:val="single" w:color="auto" w:sz="4" w:space="0"/>
              <w:left w:val="nil"/>
              <w:bottom w:val="single" w:color="auto" w:sz="4" w:space="0"/>
              <w:right w:val="single" w:color="auto" w:sz="4" w:space="0"/>
            </w:tcBorders>
            <w:noWrap w:val="0"/>
            <w:vAlign w:val="center"/>
          </w:tcPr>
          <w:p>
            <w:pPr>
              <w:numPr>
                <w:ilvl w:val="0"/>
                <w:numId w:val="7"/>
              </w:num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转移支付项目单位名称和资</w:t>
            </w:r>
            <w:r>
              <w:rPr>
                <w:rFonts w:hint="eastAsia" w:ascii="Times New Roman" w:hAnsi="Times New Roman" w:eastAsia="仿宋_GB2312" w:cs="Times New Roman"/>
                <w:sz w:val="20"/>
                <w:szCs w:val="20"/>
                <w:highlight w:val="none"/>
                <w:lang w:val="en-US" w:eastAsia="zh-CN"/>
              </w:rPr>
              <w:t xml:space="preserve"> </w:t>
            </w:r>
            <w:r>
              <w:rPr>
                <w:rFonts w:hint="default" w:ascii="Times New Roman" w:hAnsi="Times New Roman" w:eastAsia="仿宋_GB2312" w:cs="Times New Roman"/>
                <w:sz w:val="20"/>
                <w:szCs w:val="20"/>
                <w:highlight w:val="none"/>
              </w:rPr>
              <w:t>金情况清单</w:t>
            </w:r>
          </w:p>
          <w:p>
            <w:pPr>
              <w:numPr>
                <w:ilvl w:val="0"/>
                <w:numId w:val="7"/>
              </w:num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有转移支付资金的各</w:t>
            </w:r>
            <w:r>
              <w:rPr>
                <w:rFonts w:hint="eastAsia" w:ascii="Times New Roman" w:hAnsi="Times New Roman" w:eastAsia="仿宋_GB2312" w:cs="Times New Roman"/>
                <w:sz w:val="20"/>
                <w:szCs w:val="20"/>
                <w:highlight w:val="none"/>
                <w:lang w:eastAsia="zh-CN"/>
              </w:rPr>
              <w:t>县区</w:t>
            </w:r>
            <w:r>
              <w:rPr>
                <w:rFonts w:hint="default" w:ascii="Times New Roman" w:hAnsi="Times New Roman" w:eastAsia="仿宋_GB2312" w:cs="Times New Roman"/>
                <w:sz w:val="20"/>
                <w:szCs w:val="20"/>
                <w:highlight w:val="none"/>
              </w:rPr>
              <w:t>主管部门汇总情况的盖章PDF版　</w:t>
            </w:r>
          </w:p>
        </w:tc>
      </w:tr>
      <w:tr>
        <w:tblPrEx>
          <w:tblCellMar>
            <w:top w:w="0" w:type="dxa"/>
            <w:left w:w="108" w:type="dxa"/>
            <w:bottom w:w="0" w:type="dxa"/>
            <w:right w:w="108" w:type="dxa"/>
          </w:tblCellMar>
        </w:tblPrEx>
        <w:trPr>
          <w:jc w:val="center"/>
        </w:trPr>
        <w:tc>
          <w:tcPr>
            <w:tcW w:w="745" w:type="dxa"/>
            <w:vMerge w:val="continue"/>
            <w:tcBorders>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nil"/>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提交报告</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（10分）</w:t>
            </w:r>
          </w:p>
        </w:tc>
        <w:tc>
          <w:tcPr>
            <w:tcW w:w="8022" w:type="dxa"/>
            <w:gridSpan w:val="2"/>
            <w:tcBorders>
              <w:top w:val="nil"/>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按时向</w:t>
            </w:r>
            <w:r>
              <w:rPr>
                <w:rFonts w:hint="eastAsia" w:ascii="Times New Roman" w:hAnsi="Times New Roman" w:eastAsia="仿宋_GB2312" w:cs="Times New Roman"/>
                <w:sz w:val="20"/>
                <w:szCs w:val="20"/>
                <w:highlight w:val="none"/>
                <w:lang w:eastAsia="zh-CN"/>
              </w:rPr>
              <w:t>市财政局</w:t>
            </w:r>
            <w:r>
              <w:rPr>
                <w:rFonts w:hint="default" w:ascii="Times New Roman" w:hAnsi="Times New Roman" w:eastAsia="仿宋_GB2312" w:cs="Times New Roman"/>
                <w:sz w:val="20"/>
                <w:szCs w:val="20"/>
                <w:highlight w:val="none"/>
              </w:rPr>
              <w:t>报送报告的得10分；每推迟一个工作日报送报告的扣1分，最多扣10分。</w:t>
            </w:r>
          </w:p>
        </w:tc>
      </w:tr>
      <w:tr>
        <w:tblPrEx>
          <w:tblCellMar>
            <w:top w:w="0" w:type="dxa"/>
            <w:left w:w="108" w:type="dxa"/>
            <w:bottom w:w="0" w:type="dxa"/>
            <w:right w:w="108" w:type="dxa"/>
          </w:tblCellMar>
        </w:tblPrEx>
        <w:trPr>
          <w:trHeight w:val="740" w:hRule="atLeast"/>
          <w:jc w:val="center"/>
        </w:trPr>
        <w:tc>
          <w:tcPr>
            <w:tcW w:w="74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自评报告</w:t>
            </w:r>
          </w:p>
          <w:p>
            <w:pPr>
              <w:spacing w:line="300" w:lineRule="exact"/>
              <w:jc w:val="center"/>
              <w:rPr>
                <w:rFonts w:hint="default" w:ascii="Times New Roman" w:hAnsi="Times New Roman" w:eastAsia="仿宋_GB2312" w:cs="Times New Roman"/>
                <w:sz w:val="20"/>
                <w:szCs w:val="20"/>
                <w:highlight w:val="none"/>
              </w:rPr>
            </w:pP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70分</w:t>
            </w: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完整性</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（15分）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绩效自评报告正文部分内容齐全的，得8分；否则每少一个部分扣2分，最多扣8分。</w:t>
            </w:r>
          </w:p>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绩效自评报告附件部分内容齐全的，得7分；否则每少一个部分扣2分，最多扣7分。</w:t>
            </w:r>
          </w:p>
        </w:tc>
      </w:tr>
      <w:tr>
        <w:tblPrEx>
          <w:tblCellMar>
            <w:top w:w="0" w:type="dxa"/>
            <w:left w:w="108" w:type="dxa"/>
            <w:bottom w:w="0" w:type="dxa"/>
            <w:right w:w="108" w:type="dxa"/>
          </w:tblCellMar>
        </w:tblPrEx>
        <w:trPr>
          <w:trHeight w:val="2143" w:hRule="atLeast"/>
          <w:jc w:val="center"/>
        </w:trPr>
        <w:tc>
          <w:tcPr>
            <w:tcW w:w="74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single" w:color="auto" w:sz="4" w:space="0"/>
              <w:left w:val="nil"/>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绩效</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自评表</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（20分）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1、部门整体支出和项目支出绩效指标反映产出、效益、服务对象满意度方面的指标和预算执行率的权重符合《</w:t>
            </w:r>
            <w:r>
              <w:rPr>
                <w:rFonts w:hint="eastAsia" w:ascii="Times New Roman" w:hAnsi="Times New Roman" w:eastAsia="仿宋_GB2312" w:cs="Times New Roman"/>
                <w:sz w:val="20"/>
                <w:szCs w:val="20"/>
                <w:highlight w:val="none"/>
                <w:lang w:eastAsia="zh-CN"/>
              </w:rPr>
              <w:t>岳阳市市级</w:t>
            </w:r>
            <w:r>
              <w:rPr>
                <w:rFonts w:hint="default" w:ascii="Times New Roman" w:hAnsi="Times New Roman" w:eastAsia="仿宋_GB2312" w:cs="Times New Roman"/>
                <w:sz w:val="20"/>
                <w:szCs w:val="20"/>
                <w:highlight w:val="none"/>
              </w:rPr>
              <w:t>预算部门绩效自评操作规程》要求的，得5分，否则按比例扣除相应的分数。</w:t>
            </w:r>
          </w:p>
          <w:p>
            <w:pPr>
              <w:spacing w:line="240" w:lineRule="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部门整体支出和项目支出绩效指标全部细化到三级指标的，得5分；部分细化的，酌情扣分；没有细化的，不得分。</w:t>
            </w:r>
          </w:p>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3</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部门整体支出和项目支出三级绩效指标内涵明确、具体、可衡量的得5分；突出核心指标，精简实用的得3分；指标与部门整体支出和项目支出密切相关，全面反映产出和效益的得2分；否则，每项酌情扣分，最多扣10分。</w:t>
            </w:r>
          </w:p>
        </w:tc>
      </w:tr>
      <w:tr>
        <w:tblPrEx>
          <w:tblCellMar>
            <w:top w:w="0" w:type="dxa"/>
            <w:left w:w="108" w:type="dxa"/>
            <w:bottom w:w="0" w:type="dxa"/>
            <w:right w:w="108" w:type="dxa"/>
          </w:tblCellMar>
        </w:tblPrEx>
        <w:trPr>
          <w:trHeight w:val="1197" w:hRule="atLeast"/>
          <w:jc w:val="center"/>
        </w:trPr>
        <w:tc>
          <w:tcPr>
            <w:tcW w:w="74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p>
        </w:tc>
        <w:tc>
          <w:tcPr>
            <w:tcW w:w="1174"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highlight w:val="none"/>
              </w:rPr>
            </w:pPr>
          </w:p>
          <w:p>
            <w:pPr>
              <w:spacing w:line="240" w:lineRule="auto"/>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反映问</w:t>
            </w:r>
          </w:p>
          <w:p>
            <w:pPr>
              <w:spacing w:line="240" w:lineRule="auto"/>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题情况</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（20分）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从预算和预算绩效管理，部门履职效能，资金分配、使用和管理，资产和财务管理，政府采购等方面归纳问题、分析原因全面的，得20分；反映问题、分析原因较全面的，得16—18分；反映问题、分析原因不全面的，得13—15分；问题未归纳且过于简单的，得10—12分；只提出资金不足问题的不得分；其他情况酌情扣分。　</w:t>
            </w:r>
          </w:p>
        </w:tc>
      </w:tr>
      <w:tr>
        <w:tblPrEx>
          <w:tblCellMar>
            <w:top w:w="0" w:type="dxa"/>
            <w:left w:w="108" w:type="dxa"/>
            <w:bottom w:w="0" w:type="dxa"/>
            <w:right w:w="108" w:type="dxa"/>
          </w:tblCellMar>
        </w:tblPrEx>
        <w:trPr>
          <w:trHeight w:val="627" w:hRule="atLeast"/>
          <w:jc w:val="center"/>
        </w:trPr>
        <w:tc>
          <w:tcPr>
            <w:tcW w:w="74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建议情况</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（15分）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建议与问题对应且全面的得15分，建议比较全面的得12—14分，建议不全面的得9—11分，建议过于简单的得6—8分，只提出加大资金投入建议的不得分；其他情况酌情扣分。</w:t>
            </w:r>
          </w:p>
        </w:tc>
      </w:tr>
      <w:tr>
        <w:tblPrEx>
          <w:tblCellMar>
            <w:top w:w="0" w:type="dxa"/>
            <w:left w:w="108" w:type="dxa"/>
            <w:bottom w:w="0" w:type="dxa"/>
            <w:right w:w="108" w:type="dxa"/>
          </w:tblCellMar>
        </w:tblPrEx>
        <w:trPr>
          <w:trHeight w:val="495" w:hRule="atLeast"/>
          <w:jc w:val="center"/>
        </w:trPr>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合计</w:t>
            </w: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100分</w:t>
            </w:r>
          </w:p>
        </w:tc>
        <w:tc>
          <w:tcPr>
            <w:tcW w:w="8022"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　</w:t>
            </w:r>
          </w:p>
        </w:tc>
      </w:tr>
    </w:tbl>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0000600000000000000"/>
    <w:charset w:val="86"/>
    <w:family w:val="auto"/>
    <w:pitch w:val="default"/>
    <w:sig w:usb0="800002BF" w:usb1="184F6CF8" w:usb2="00000012" w:usb3="00000000" w:csb0="00160001" w:csb1="12030000"/>
  </w:font>
  <w:font w:name="方正小标宋_GBK">
    <w:altName w:val="微软雅黑"/>
    <w:panose1 w:val="02000000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96FE01"/>
    <w:multiLevelType w:val="singleLevel"/>
    <w:tmpl w:val="9296FE01"/>
    <w:lvl w:ilvl="0" w:tentative="0">
      <w:start w:val="8"/>
      <w:numFmt w:val="chineseCounting"/>
      <w:suff w:val="nothing"/>
      <w:lvlText w:val="%1、"/>
      <w:lvlJc w:val="left"/>
      <w:rPr>
        <w:rFonts w:hint="eastAsia"/>
      </w:rPr>
    </w:lvl>
  </w:abstractNum>
  <w:abstractNum w:abstractNumId="1">
    <w:nsid w:val="9A6C2CBD"/>
    <w:multiLevelType w:val="singleLevel"/>
    <w:tmpl w:val="9A6C2CBD"/>
    <w:lvl w:ilvl="0" w:tentative="0">
      <w:start w:val="1"/>
      <w:numFmt w:val="chineseCounting"/>
      <w:suff w:val="nothing"/>
      <w:lvlText w:val="%1、"/>
      <w:lvlJc w:val="left"/>
      <w:rPr>
        <w:rFonts w:hint="eastAsia"/>
      </w:rPr>
    </w:lvl>
  </w:abstractNum>
  <w:abstractNum w:abstractNumId="2">
    <w:nsid w:val="E57D96D4"/>
    <w:multiLevelType w:val="singleLevel"/>
    <w:tmpl w:val="E57D96D4"/>
    <w:lvl w:ilvl="0" w:tentative="0">
      <w:start w:val="2"/>
      <w:numFmt w:val="chineseCounting"/>
      <w:suff w:val="nothing"/>
      <w:lvlText w:val="（%1）"/>
      <w:lvlJc w:val="left"/>
      <w:rPr>
        <w:rFonts w:hint="eastAsia"/>
      </w:rPr>
    </w:lvl>
  </w:abstractNum>
  <w:abstractNum w:abstractNumId="3">
    <w:nsid w:val="E716CFB2"/>
    <w:multiLevelType w:val="singleLevel"/>
    <w:tmpl w:val="E716CFB2"/>
    <w:lvl w:ilvl="0" w:tentative="0">
      <w:start w:val="1"/>
      <w:numFmt w:val="chineseCounting"/>
      <w:suff w:val="nothing"/>
      <w:lvlText w:val="（%1）"/>
      <w:lvlJc w:val="left"/>
      <w:pPr>
        <w:ind w:left="0" w:hanging="20"/>
      </w:pPr>
      <w:rPr>
        <w:rFonts w:hint="eastAsia"/>
      </w:rPr>
    </w:lvl>
  </w:abstractNum>
  <w:abstractNum w:abstractNumId="4">
    <w:nsid w:val="0A3DD7F7"/>
    <w:multiLevelType w:val="singleLevel"/>
    <w:tmpl w:val="0A3DD7F7"/>
    <w:lvl w:ilvl="0" w:tentative="0">
      <w:start w:val="1"/>
      <w:numFmt w:val="chineseCounting"/>
      <w:suff w:val="nothing"/>
      <w:lvlText w:val="（%1）"/>
      <w:lvlJc w:val="left"/>
      <w:rPr>
        <w:rFonts w:hint="eastAsia"/>
      </w:rPr>
    </w:lvl>
  </w:abstractNum>
  <w:abstractNum w:abstractNumId="5">
    <w:nsid w:val="5DDF8822"/>
    <w:multiLevelType w:val="singleLevel"/>
    <w:tmpl w:val="5DDF8822"/>
    <w:lvl w:ilvl="0" w:tentative="0">
      <w:start w:val="1"/>
      <w:numFmt w:val="decimal"/>
      <w:suff w:val="nothing"/>
      <w:lvlText w:val="%1、"/>
      <w:lvlJc w:val="left"/>
    </w:lvl>
  </w:abstractNum>
  <w:abstractNum w:abstractNumId="6">
    <w:nsid w:val="70C2E35A"/>
    <w:multiLevelType w:val="singleLevel"/>
    <w:tmpl w:val="70C2E35A"/>
    <w:lvl w:ilvl="0" w:tentative="0">
      <w:start w:val="1"/>
      <w:numFmt w:val="decimal"/>
      <w:lvlText w:val="%1."/>
      <w:lvlJc w:val="left"/>
      <w:pPr>
        <w:ind w:left="425" w:hanging="425"/>
      </w:pPr>
      <w:rPr>
        <w:rFonts w:hint="default"/>
      </w:rPr>
    </w:lvl>
  </w:abstractNum>
  <w:num w:numId="1">
    <w:abstractNumId w:val="6"/>
  </w:num>
  <w:num w:numId="2">
    <w:abstractNumId w:val="3"/>
  </w:num>
  <w:num w:numId="3">
    <w:abstractNumId w:val="1"/>
  </w:num>
  <w:num w:numId="4">
    <w:abstractNumId w:val="2"/>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ZDg1MjQyMWM5NGNiNzE1YmE2OTlhMTU3MzM4MzAifQ=="/>
  </w:docVars>
  <w:rsids>
    <w:rsidRoot w:val="59886344"/>
    <w:rsid w:val="039F0026"/>
    <w:rsid w:val="0E1A3B33"/>
    <w:rsid w:val="0FF833F8"/>
    <w:rsid w:val="10FF1B4C"/>
    <w:rsid w:val="13663E46"/>
    <w:rsid w:val="371D2290"/>
    <w:rsid w:val="41CC2DBB"/>
    <w:rsid w:val="43F54F5F"/>
    <w:rsid w:val="48A91F45"/>
    <w:rsid w:val="4CBD4413"/>
    <w:rsid w:val="55AE3439"/>
    <w:rsid w:val="59886344"/>
    <w:rsid w:val="621454F4"/>
    <w:rsid w:val="658C3C5C"/>
    <w:rsid w:val="71C22BD1"/>
    <w:rsid w:val="7F1E2D38"/>
    <w:rsid w:val="DFEF8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仿宋" w:hAnsi="仿宋" w:eastAsia="宋体" w:cs="Times New Roman"/>
      <w:kern w:val="0"/>
      <w:sz w:val="28"/>
      <w:szCs w:val="24"/>
      <w:lang w:val="en-US" w:eastAsia="zh-CN" w:bidi="ar-SA"/>
    </w:rPr>
  </w:style>
  <w:style w:type="paragraph" w:styleId="4">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semiHidden/>
    <w:qFormat/>
    <w:uiPriority w:val="0"/>
    <w:pPr>
      <w:spacing w:after="120"/>
      <w:ind w:left="283" w:leftChars="0" w:firstLine="210"/>
    </w:pPr>
    <w:rPr>
      <w:rFonts w:ascii="Times New Roman" w:eastAsia="宋体"/>
      <w:sz w:val="21"/>
    </w:rPr>
  </w:style>
  <w:style w:type="paragraph" w:styleId="3">
    <w:name w:val="Body Text Indent"/>
    <w:basedOn w:val="1"/>
    <w:autoRedefine/>
    <w:semiHidden/>
    <w:qFormat/>
    <w:uiPriority w:val="0"/>
    <w:pPr>
      <w:ind w:left="659" w:leftChars="314"/>
    </w:pPr>
    <w:rPr>
      <w:rFonts w:ascii="仿宋_GB2312" w:eastAsia="仿宋_GB2312"/>
      <w:sz w:val="24"/>
    </w:rPr>
  </w:style>
  <w:style w:type="paragraph" w:styleId="5">
    <w:name w:val="Body Text"/>
    <w:basedOn w:val="1"/>
    <w:autoRedefine/>
    <w:semiHidden/>
    <w:qFormat/>
    <w:uiPriority w:val="0"/>
    <w:rPr>
      <w:rFonts w:ascii="仿宋" w:hAnsi="仿宋" w:eastAsia="仿宋" w:cs="仿宋"/>
      <w:sz w:val="31"/>
      <w:szCs w:val="31"/>
      <w:lang w:val="en-US" w:eastAsia="en-US" w:bidi="ar-SA"/>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9">
    <w:name w:val="列出段落1"/>
    <w:basedOn w:val="1"/>
    <w:autoRedefine/>
    <w:qFormat/>
    <w:uiPriority w:val="34"/>
    <w:pPr>
      <w:ind w:firstLine="420" w:firstLineChars="200"/>
    </w:pPr>
  </w:style>
  <w:style w:type="paragraph" w:styleId="10">
    <w:name w:val="List Paragraph"/>
    <w:basedOn w:val="1"/>
    <w:qFormat/>
    <w:uiPriority w:val="99"/>
    <w:pPr>
      <w:ind w:firstLine="420" w:firstLineChars="200"/>
    </w:pPr>
    <w:rPr>
      <w:rFonts w:ascii="Calibri" w:hAnsi="Calibri"/>
      <w:szCs w:val="22"/>
    </w:rPr>
  </w:style>
  <w:style w:type="paragraph" w:customStyle="1" w:styleId="11">
    <w:name w:val="Default"/>
    <w:qFormat/>
    <w:uiPriority w:val="99"/>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2">
    <w:name w:val="样式2"/>
    <w:basedOn w:val="1"/>
    <w:autoRedefine/>
    <w:qFormat/>
    <w:uiPriority w:val="0"/>
    <w:pPr>
      <w:widowControl/>
      <w:shd w:val="clear" w:color="auto" w:fill="FFFFFF"/>
      <w:spacing w:before="100" w:beforeAutospacing="1" w:after="100" w:afterAutospacing="1"/>
      <w:ind w:left="562"/>
      <w:jc w:val="center"/>
    </w:pPr>
    <w:rPr>
      <w:rFonts w:ascii="宋体" w:hAnsi="宋体"/>
      <w:b/>
      <w:bCs/>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2024-03-18T08:36:00Z</dcterms:created>
  <dc:creator>Administrator</dc:creator>
  <cp:lastModifiedBy>口天wu</cp:lastModifiedBy>
  <cp:lastPrinted>2024-06-25T02:19:00Z</cp:lastPrinted>
  <dcterms:modified xsi:type="dcterms:W3CDTF">2024-07-15T02:02:08Z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E89B0530DEB148EE99567EFBE11DDCA4_13</vt:lpwstr>
  </property>
</Properties>
</file>