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atLeast"/>
        <w:jc w:val="center"/>
        <w:rPr>
          <w:rFonts w:ascii="方正小标宋简体" w:hAnsi="方正小标宋简体" w:eastAsia="方正小标宋简体" w:cs="方正小标宋简体"/>
          <w:b/>
          <w:bCs/>
          <w:sz w:val="44"/>
          <w:szCs w:val="44"/>
        </w:rPr>
      </w:pPr>
    </w:p>
    <w:p>
      <w:pPr>
        <w:spacing w:line="570" w:lineRule="atLeast"/>
        <w:jc w:val="center"/>
        <w:rPr>
          <w:rFonts w:ascii="方正小标宋简体" w:hAnsi="方正小标宋简体" w:eastAsia="方正小标宋简体" w:cs="方正小标宋简体"/>
          <w:b/>
          <w:bCs/>
          <w:sz w:val="44"/>
          <w:szCs w:val="44"/>
        </w:rPr>
      </w:pPr>
    </w:p>
    <w:p>
      <w:pPr>
        <w:spacing w:line="570" w:lineRule="atLeast"/>
        <w:jc w:val="center"/>
        <w:rPr>
          <w:rFonts w:ascii="方正小标宋简体" w:hAnsi="方正小标宋简体" w:eastAsia="方正小标宋简体" w:cs="方正小标宋简体"/>
          <w:b/>
          <w:bCs/>
          <w:sz w:val="44"/>
          <w:szCs w:val="44"/>
        </w:rPr>
      </w:pPr>
    </w:p>
    <w:p>
      <w:pPr>
        <w:spacing w:line="570" w:lineRule="atLeast"/>
        <w:jc w:val="center"/>
        <w:rPr>
          <w:rFonts w:ascii="方正小标宋简体" w:hAnsi="方正小标宋简体" w:eastAsia="方正小标宋简体" w:cs="方正小标宋简体"/>
          <w:b/>
          <w:bCs/>
          <w:sz w:val="44"/>
          <w:szCs w:val="44"/>
        </w:rPr>
      </w:pPr>
    </w:p>
    <w:p>
      <w:pPr>
        <w:spacing w:line="570" w:lineRule="atLeast"/>
        <w:jc w:val="center"/>
        <w:rPr>
          <w:rFonts w:ascii="方正小标宋简体" w:hAnsi="方正小标宋简体" w:eastAsia="方正小标宋简体" w:cs="方正小标宋简体"/>
          <w:b/>
          <w:bCs/>
          <w:sz w:val="44"/>
          <w:szCs w:val="44"/>
        </w:rPr>
      </w:pPr>
    </w:p>
    <w:p>
      <w:pPr>
        <w:spacing w:line="570" w:lineRule="atLeast"/>
        <w:jc w:val="center"/>
        <w:rPr>
          <w:rFonts w:ascii="方正小标宋简体" w:hAnsi="方正小标宋简体" w:eastAsia="方正小标宋简体" w:cs="方正小标宋简体"/>
          <w:b/>
          <w:bCs/>
          <w:sz w:val="44"/>
          <w:szCs w:val="44"/>
        </w:rPr>
      </w:pPr>
    </w:p>
    <w:p>
      <w:pPr>
        <w:spacing w:line="570" w:lineRule="atLeas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岳阳市君山区人民政府办公室</w:t>
      </w:r>
    </w:p>
    <w:p>
      <w:pPr>
        <w:spacing w:line="570" w:lineRule="atLeast"/>
        <w:jc w:val="center"/>
        <w:rPr>
          <w:rFonts w:ascii="黑体" w:hAnsi="黑体" w:eastAsia="黑体" w:cs="黑体"/>
          <w:b/>
          <w:bCs/>
          <w:sz w:val="48"/>
          <w:szCs w:val="48"/>
        </w:rPr>
      </w:pPr>
      <w:r>
        <w:rPr>
          <w:rFonts w:hint="eastAsia" w:ascii="方正小标宋简体" w:hAnsi="方正小标宋简体" w:eastAsia="方正小标宋简体" w:cs="方正小标宋简体"/>
          <w:b/>
          <w:bCs/>
          <w:sz w:val="44"/>
          <w:szCs w:val="44"/>
        </w:rPr>
        <w:t>2024年部门预算公开</w:t>
      </w:r>
    </w:p>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p>
    <w:p>
      <w:pPr>
        <w:widowControl/>
        <w:spacing w:line="570" w:lineRule="atLeast"/>
        <w:jc w:val="center"/>
        <w:rPr>
          <w:rFonts w:ascii="Times New Roman" w:hAnsi="Times New Roman" w:eastAsia="黑体" w:cs="Times New Roman"/>
          <w:b/>
          <w:kern w:val="0"/>
          <w:sz w:val="36"/>
          <w:szCs w:val="36"/>
        </w:rPr>
      </w:pPr>
      <w:r>
        <w:rPr>
          <w:rFonts w:hint="eastAsia" w:ascii="Times New Roman" w:hAnsi="Times New Roman" w:eastAsia="黑体" w:cs="Times New Roman"/>
          <w:b/>
          <w:kern w:val="0"/>
          <w:sz w:val="36"/>
          <w:szCs w:val="36"/>
        </w:rPr>
        <w:t>目 录</w:t>
      </w:r>
    </w:p>
    <w:p>
      <w:pPr>
        <w:widowControl/>
        <w:spacing w:line="570" w:lineRule="atLeast"/>
        <w:ind w:firstLine="630" w:firstLineChars="196"/>
        <w:rPr>
          <w:rFonts w:ascii="黑体" w:hAnsi="黑体" w:eastAsia="黑体" w:cs="黑体"/>
          <w:b/>
          <w:bCs/>
          <w:kern w:val="0"/>
          <w:sz w:val="32"/>
          <w:szCs w:val="32"/>
        </w:rPr>
      </w:pPr>
      <w:r>
        <w:rPr>
          <w:rFonts w:hint="eastAsia" w:ascii="黑体" w:hAnsi="黑体" w:eastAsia="黑体" w:cs="黑体"/>
          <w:b/>
          <w:bCs/>
          <w:kern w:val="0"/>
          <w:sz w:val="32"/>
          <w:szCs w:val="32"/>
        </w:rPr>
        <w:t>第一部分 2024年部门预算说明</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一、部门基本概况</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二、部门预算单位构成</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三、部门收支总体情况</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四、一般公共预算拨款支出</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五、政府性基金预算支出</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六、其他重要事项的情况说明</w:t>
      </w:r>
    </w:p>
    <w:p>
      <w:pPr>
        <w:spacing w:line="570" w:lineRule="atLeast"/>
        <w:ind w:firstLine="640" w:firstLineChars="200"/>
        <w:rPr>
          <w:rFonts w:asciiTheme="minorEastAsia" w:hAnsiTheme="minorEastAsia" w:cstheme="minorEastAsia"/>
          <w:sz w:val="28"/>
          <w:szCs w:val="28"/>
        </w:rPr>
      </w:pPr>
      <w:r>
        <w:rPr>
          <w:rFonts w:hint="eastAsia" w:ascii="仿宋_GB2312" w:hAnsi="仿宋_GB2312" w:eastAsia="仿宋_GB2312" w:cs="仿宋_GB2312"/>
          <w:color w:val="000000"/>
          <w:sz w:val="32"/>
          <w:szCs w:val="32"/>
          <w:shd w:val="clear" w:color="auto" w:fill="FFFFFF"/>
        </w:rPr>
        <w:t>七、名词解释</w:t>
      </w:r>
    </w:p>
    <w:p>
      <w:pPr>
        <w:ind w:firstLine="643" w:firstLineChars="200"/>
        <w:rPr>
          <w:rFonts w:asciiTheme="minorEastAsia" w:hAnsiTheme="minorEastAsia" w:cstheme="minorEastAsia"/>
          <w:sz w:val="28"/>
          <w:szCs w:val="28"/>
        </w:rPr>
      </w:pPr>
      <w:r>
        <w:rPr>
          <w:rFonts w:hint="eastAsia" w:ascii="黑体" w:hAnsi="黑体" w:eastAsia="黑体" w:cs="黑体"/>
          <w:b/>
          <w:bCs/>
          <w:kern w:val="0"/>
          <w:sz w:val="32"/>
          <w:szCs w:val="32"/>
        </w:rPr>
        <w:t>第二部分 2024年部门预算表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1、收支总表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2、收入总表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3、支出总表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4、支出预算分类汇总表（按政府预算经济分类）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5、支出预算分类汇总表（按部门预算经济分类）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6、财政拨款收支总表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7、一般公共预算支出表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8、一般公共预算基本支出表-人员经费（工资福利支出）（按政府预算经济分类）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9、一般公共预算基本支出表-人员经费（工资福利支出）（按部门预算经济分类）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10、一般公共预算基本支出表-人员经费（对个人和家庭的补助）（按政府预算经济分类）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11、一般公共预算基本支出表-人员经费（对个人和家庭的补助）（按部门预算经济分类）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12、一般公共预算基本支出表-公用经费（商品和服务支出）（按政府预算经济分类）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13、一般公共预算基本支出表-公用经费（商品和服务支出）（按部门预算经济分类）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14、一般公共预算“三公”经费支出表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15、政府性基金预算支出表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16、政府性基金预算支出分类汇总表（按政府预算经济分类）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17、政府性基金预算支出分类汇总表（按部门预算经济分类）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18、国有资本经营预算支出表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19、财政专户管理资金预算支出表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20、专项资金预算汇总表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21、项目支出绩效目标表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22、部门整体支出绩效目标表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23、一般公共预算基本支出表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注：以上部门预算公开报表中，空表表示本部门无相关收支情况。</w:t>
      </w:r>
    </w:p>
    <w:p>
      <w:pPr>
        <w:jc w:val="center"/>
        <w:rPr>
          <w:rFonts w:asciiTheme="minorEastAsia" w:hAnsiTheme="minorEastAsia" w:cstheme="minorEastAsia"/>
          <w:b/>
          <w:bCs/>
          <w:sz w:val="28"/>
          <w:szCs w:val="28"/>
        </w:rPr>
      </w:pPr>
    </w:p>
    <w:p>
      <w:pPr>
        <w:jc w:val="center"/>
        <w:rPr>
          <w:rFonts w:asciiTheme="minorEastAsia" w:hAnsiTheme="minorEastAsia" w:cstheme="minorEastAsia"/>
          <w:b/>
          <w:bCs/>
          <w:sz w:val="28"/>
          <w:szCs w:val="28"/>
        </w:rPr>
      </w:pPr>
      <w:r>
        <w:rPr>
          <w:rFonts w:hint="eastAsia" w:ascii="Times New Roman" w:hAnsi="Times New Roman" w:eastAsia="方正小标宋_GBK" w:cs="Times New Roman"/>
          <w:b/>
          <w:bCs/>
          <w:kern w:val="0"/>
          <w:sz w:val="36"/>
          <w:szCs w:val="36"/>
        </w:rPr>
        <w:t>第一部分 部门预算公开说明</w:t>
      </w:r>
    </w:p>
    <w:p>
      <w:pPr>
        <w:ind w:firstLine="643" w:firstLineChars="200"/>
        <w:rPr>
          <w:rFonts w:ascii="Times New Roman" w:hAnsi="Times New Roman" w:eastAsia="黑体" w:cs="Times New Roman"/>
          <w:b/>
          <w:bCs/>
          <w:kern w:val="0"/>
          <w:sz w:val="32"/>
          <w:szCs w:val="32"/>
        </w:rPr>
      </w:pPr>
    </w:p>
    <w:p>
      <w:pPr>
        <w:ind w:firstLine="643" w:firstLineChars="200"/>
        <w:rPr>
          <w:rFonts w:asciiTheme="minorEastAsia" w:hAnsiTheme="minorEastAsia" w:cstheme="minorEastAsia"/>
          <w:b/>
          <w:bCs/>
          <w:sz w:val="28"/>
          <w:szCs w:val="28"/>
        </w:rPr>
      </w:pPr>
      <w:r>
        <w:rPr>
          <w:rFonts w:hint="eastAsia" w:ascii="Times New Roman" w:hAnsi="Times New Roman" w:eastAsia="黑体" w:cs="Times New Roman"/>
          <w:b/>
          <w:bCs/>
          <w:kern w:val="0"/>
          <w:sz w:val="32"/>
          <w:szCs w:val="32"/>
        </w:rPr>
        <w:t>一、部门基本概况</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（一）职能职责</w:t>
      </w:r>
    </w:p>
    <w:p>
      <w:pPr>
        <w:widowControl/>
        <w:spacing w:line="600" w:lineRule="exact"/>
        <w:ind w:firstLine="627" w:firstLineChars="196"/>
        <w:rPr>
          <w:rFonts w:eastAsia="仿宋_GB2312"/>
          <w:sz w:val="32"/>
          <w:szCs w:val="32"/>
        </w:rPr>
      </w:pPr>
      <w:r>
        <w:rPr>
          <w:rFonts w:hint="eastAsia" w:eastAsia="仿宋_GB2312"/>
          <w:sz w:val="32"/>
          <w:szCs w:val="32"/>
        </w:rPr>
        <w:t>1.协助区人民政府领导组织起草或审核以区人民政府、区人民政府办公室名义发布的公文。</w:t>
      </w:r>
    </w:p>
    <w:p>
      <w:pPr>
        <w:widowControl/>
        <w:spacing w:line="600" w:lineRule="exact"/>
        <w:ind w:firstLine="627" w:firstLineChars="196"/>
        <w:rPr>
          <w:rFonts w:eastAsia="仿宋_GB2312"/>
          <w:sz w:val="32"/>
          <w:szCs w:val="32"/>
        </w:rPr>
      </w:pPr>
      <w:r>
        <w:rPr>
          <w:rFonts w:hint="eastAsia" w:eastAsia="仿宋_GB2312"/>
          <w:sz w:val="32"/>
          <w:szCs w:val="32"/>
        </w:rPr>
        <w:t>2.受理并研究区人民政府各部门和各镇（办事处）、场请示区人民政府的事项，提出审核意见；对区人民政府部门间的分歧事项提出处理意见，报区人民政府领导决定。</w:t>
      </w:r>
    </w:p>
    <w:p>
      <w:pPr>
        <w:widowControl/>
        <w:spacing w:line="600" w:lineRule="exact"/>
        <w:ind w:firstLine="627" w:firstLineChars="196"/>
        <w:rPr>
          <w:rFonts w:eastAsia="仿宋_GB2312"/>
          <w:sz w:val="32"/>
          <w:szCs w:val="32"/>
        </w:rPr>
      </w:pPr>
      <w:r>
        <w:rPr>
          <w:rFonts w:hint="eastAsia" w:eastAsia="仿宋_GB2312"/>
          <w:sz w:val="32"/>
          <w:szCs w:val="32"/>
        </w:rPr>
        <w:t>3.负责区人民政府会议的筹备工作，协助区人民政府领导同志组织实施会议决定事项；根据区人民政府领导的指示和区人民政府的工作部署，对全区经济建设、社会发展和改革开放等全局性工作的重大课题进行调查研究，及时反映情况，提出建议；收集、整理、传递政务信息，为区人民政府领导决策和指导工作提供信息服务。</w:t>
      </w:r>
    </w:p>
    <w:p>
      <w:pPr>
        <w:widowControl/>
        <w:spacing w:line="600" w:lineRule="exact"/>
        <w:ind w:firstLine="627" w:firstLineChars="196"/>
        <w:rPr>
          <w:rFonts w:eastAsia="仿宋_GB2312"/>
          <w:sz w:val="32"/>
          <w:szCs w:val="32"/>
        </w:rPr>
      </w:pPr>
      <w:r>
        <w:rPr>
          <w:rFonts w:hint="eastAsia" w:eastAsia="仿宋_GB2312"/>
          <w:sz w:val="32"/>
          <w:szCs w:val="32"/>
        </w:rPr>
        <w:t>4.督促检查区人民政府各部门和各镇（办事处）、场对区人民政府公文、区人民政府决定事项及区政府领导有关指示的贯彻落实情况，及时向区人民政府领导报告；负责组织对区人民政府系统年度工作目标的制定、进度督查和年度绩效评估工作。</w:t>
      </w:r>
    </w:p>
    <w:p>
      <w:pPr>
        <w:widowControl/>
        <w:spacing w:line="600" w:lineRule="exact"/>
        <w:ind w:firstLine="627" w:firstLineChars="196"/>
        <w:rPr>
          <w:rFonts w:eastAsia="仿宋_GB2312"/>
          <w:sz w:val="32"/>
          <w:szCs w:val="32"/>
        </w:rPr>
      </w:pPr>
      <w:r>
        <w:rPr>
          <w:rFonts w:hint="eastAsia" w:eastAsia="仿宋_GB2312"/>
          <w:sz w:val="32"/>
          <w:szCs w:val="32"/>
        </w:rPr>
        <w:t>5.负责区人民政府日常值班工作，及时报告重要情况，传达和督促落实区人民政府领导指示；协助区人民政府领导组织处理突出事件的应急处置工作。</w:t>
      </w:r>
    </w:p>
    <w:p>
      <w:pPr>
        <w:widowControl/>
        <w:spacing w:line="600" w:lineRule="exact"/>
        <w:ind w:firstLine="627" w:firstLineChars="196"/>
        <w:rPr>
          <w:rFonts w:eastAsia="仿宋_GB2312"/>
          <w:sz w:val="32"/>
          <w:szCs w:val="32"/>
        </w:rPr>
      </w:pPr>
      <w:r>
        <w:rPr>
          <w:rFonts w:hint="eastAsia" w:eastAsia="仿宋_GB2312"/>
          <w:sz w:val="32"/>
          <w:szCs w:val="32"/>
        </w:rPr>
        <w:t>6.组织办理和答复人大代表建议和政协委员提案。</w:t>
      </w:r>
    </w:p>
    <w:p>
      <w:pPr>
        <w:widowControl/>
        <w:spacing w:line="600" w:lineRule="exact"/>
        <w:ind w:firstLine="627" w:firstLineChars="196"/>
        <w:rPr>
          <w:rFonts w:eastAsia="仿宋_GB2312"/>
          <w:sz w:val="32"/>
          <w:szCs w:val="32"/>
        </w:rPr>
      </w:pPr>
      <w:r>
        <w:rPr>
          <w:rFonts w:hint="eastAsia" w:eastAsia="仿宋_GB2312"/>
          <w:sz w:val="32"/>
          <w:szCs w:val="32"/>
        </w:rPr>
        <w:t>7.承担统筹规划全区推进依法行政工作和区政府规范性文件制定工作的责任，负责行政执法监督和指导全区行政复议、行政应诉和行政赔偿等法制工作。</w:t>
      </w:r>
    </w:p>
    <w:p>
      <w:pPr>
        <w:widowControl/>
        <w:spacing w:line="600" w:lineRule="exact"/>
        <w:ind w:firstLine="627" w:firstLineChars="196"/>
        <w:rPr>
          <w:rFonts w:eastAsia="仿宋_GB2312"/>
          <w:sz w:val="32"/>
          <w:szCs w:val="32"/>
        </w:rPr>
      </w:pPr>
      <w:r>
        <w:rPr>
          <w:rFonts w:hint="eastAsia" w:eastAsia="仿宋_GB2312"/>
          <w:sz w:val="32"/>
          <w:szCs w:val="32"/>
        </w:rPr>
        <w:t>8.负责区人民政府机关行政事务、安全保卫和有关接待工作。</w:t>
      </w:r>
    </w:p>
    <w:p>
      <w:pPr>
        <w:widowControl/>
        <w:spacing w:line="600" w:lineRule="exact"/>
        <w:ind w:firstLine="627" w:firstLineChars="196"/>
        <w:rPr>
          <w:rFonts w:eastAsia="仿宋_GB2312"/>
          <w:sz w:val="32"/>
          <w:szCs w:val="32"/>
        </w:rPr>
      </w:pPr>
      <w:r>
        <w:rPr>
          <w:rFonts w:hint="eastAsia" w:eastAsia="仿宋_GB2312"/>
          <w:sz w:val="32"/>
          <w:szCs w:val="32"/>
        </w:rPr>
        <w:t>9.承办区委、区人民政府交办的其他事项。</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（二）机构设置</w:t>
      </w:r>
    </w:p>
    <w:p>
      <w:pPr>
        <w:widowControl/>
        <w:spacing w:line="600" w:lineRule="exact"/>
        <w:ind w:firstLine="627" w:firstLineChars="196"/>
        <w:rPr>
          <w:rFonts w:eastAsia="仿宋_GB2312"/>
          <w:sz w:val="32"/>
          <w:szCs w:val="32"/>
        </w:rPr>
      </w:pPr>
      <w:r>
        <w:rPr>
          <w:rFonts w:hint="eastAsia" w:eastAsia="仿宋_GB2312"/>
          <w:sz w:val="32"/>
          <w:szCs w:val="32"/>
        </w:rPr>
        <w:t>区人民政府办公室内设秘书一室、秘书二室（保密室）、总值班室、督查室、政工人事室、行政室、金融工作室、电子政务室、禁毒办。</w:t>
      </w:r>
    </w:p>
    <w:p>
      <w:pPr>
        <w:ind w:firstLine="643" w:firstLineChars="200"/>
        <w:rPr>
          <w:rFonts w:ascii="Times New Roman" w:hAnsi="Times New Roman" w:eastAsia="黑体" w:cs="Times New Roman"/>
          <w:b/>
          <w:bCs/>
          <w:kern w:val="0"/>
          <w:sz w:val="32"/>
          <w:szCs w:val="32"/>
        </w:rPr>
      </w:pPr>
      <w:r>
        <w:rPr>
          <w:rFonts w:hint="eastAsia" w:ascii="Times New Roman" w:hAnsi="Times New Roman" w:eastAsia="黑体" w:cs="Times New Roman"/>
          <w:b/>
          <w:bCs/>
          <w:kern w:val="0"/>
          <w:sz w:val="32"/>
          <w:szCs w:val="32"/>
        </w:rPr>
        <w:t>二、部门预算单位构成</w:t>
      </w:r>
    </w:p>
    <w:p>
      <w:pPr>
        <w:widowControl/>
        <w:spacing w:line="600" w:lineRule="exact"/>
        <w:ind w:firstLine="627" w:firstLineChars="196"/>
        <w:rPr>
          <w:rFonts w:hint="eastAsia" w:eastAsia="仿宋_GB2312"/>
          <w:sz w:val="32"/>
          <w:szCs w:val="32"/>
        </w:rPr>
      </w:pPr>
      <w:r>
        <w:rPr>
          <w:rFonts w:hint="eastAsia" w:eastAsia="仿宋_GB2312"/>
          <w:sz w:val="32"/>
          <w:szCs w:val="32"/>
        </w:rPr>
        <w:t>本部门预算为汇总预算，纳入2024年部门预算编制范围的预算单位包括：</w:t>
      </w:r>
    </w:p>
    <w:p>
      <w:pPr>
        <w:widowControl/>
        <w:spacing w:line="600" w:lineRule="exact"/>
        <w:ind w:firstLine="627" w:firstLineChars="196"/>
        <w:rPr>
          <w:rFonts w:eastAsia="仿宋_GB2312"/>
          <w:sz w:val="32"/>
          <w:szCs w:val="32"/>
        </w:rPr>
      </w:pPr>
      <w:r>
        <w:rPr>
          <w:rFonts w:hint="eastAsia" w:eastAsia="仿宋_GB2312"/>
          <w:sz w:val="32"/>
          <w:szCs w:val="32"/>
        </w:rPr>
        <w:t>1、君山区人民政府办公室(本级)</w:t>
      </w:r>
    </w:p>
    <w:p>
      <w:pPr>
        <w:widowControl/>
        <w:spacing w:line="600" w:lineRule="exact"/>
        <w:ind w:firstLine="627" w:firstLineChars="196"/>
        <w:rPr>
          <w:rFonts w:eastAsia="仿宋_GB2312"/>
          <w:sz w:val="32"/>
          <w:szCs w:val="32"/>
        </w:rPr>
      </w:pPr>
      <w:r>
        <w:rPr>
          <w:rFonts w:hint="eastAsia" w:eastAsia="仿宋_GB2312"/>
          <w:sz w:val="32"/>
          <w:szCs w:val="32"/>
        </w:rPr>
        <w:t>2、岳阳市君山区经济研究中心</w:t>
      </w:r>
    </w:p>
    <w:p>
      <w:pPr>
        <w:widowControl/>
        <w:spacing w:line="600" w:lineRule="exact"/>
        <w:ind w:firstLine="627" w:firstLineChars="196"/>
        <w:rPr>
          <w:rFonts w:eastAsia="仿宋_GB2312"/>
          <w:sz w:val="32"/>
          <w:szCs w:val="32"/>
        </w:rPr>
      </w:pPr>
      <w:r>
        <w:rPr>
          <w:rFonts w:hint="eastAsia" w:eastAsia="仿宋_GB2312"/>
          <w:sz w:val="32"/>
          <w:szCs w:val="32"/>
        </w:rPr>
        <w:t>3、君山区政府经济协作事务中心</w:t>
      </w:r>
    </w:p>
    <w:p>
      <w:pPr>
        <w:ind w:firstLine="643" w:firstLineChars="200"/>
        <w:rPr>
          <w:rFonts w:ascii="Times New Roman" w:hAnsi="Times New Roman" w:eastAsia="黑体" w:cs="Times New Roman"/>
          <w:b/>
          <w:bCs/>
          <w:kern w:val="0"/>
          <w:sz w:val="32"/>
          <w:szCs w:val="32"/>
        </w:rPr>
      </w:pPr>
      <w:r>
        <w:rPr>
          <w:rFonts w:hint="eastAsia" w:ascii="Times New Roman" w:hAnsi="Times New Roman" w:eastAsia="黑体" w:cs="Times New Roman"/>
          <w:b/>
          <w:bCs/>
          <w:kern w:val="0"/>
          <w:sz w:val="32"/>
          <w:szCs w:val="32"/>
        </w:rPr>
        <w:t>三、部门收支总体情况</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本部门2024年没有政府性基金预算拨款、国有资本经营预算收入和纳入专户管理的非税收入拨款收入，也没有使用政府性基金预算拨款、国有资本经营预算收入和纳入专户管理的非税收入拨款安排的支出，所以部门预算公开表15、16、17、18、19表均为空。</w:t>
      </w:r>
    </w:p>
    <w:p>
      <w:pPr>
        <w:numPr>
          <w:ilvl w:val="0"/>
          <w:numId w:val="1"/>
        </w:num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收入预算：</w:t>
      </w:r>
      <w:r>
        <w:rPr>
          <w:rFonts w:hint="eastAsia" w:ascii="仿宋_GB2312" w:hAnsi="仿宋_GB2312" w:eastAsia="仿宋_GB2312" w:cs="仿宋_GB2312"/>
          <w:color w:val="000000"/>
          <w:sz w:val="32"/>
          <w:szCs w:val="32"/>
          <w:shd w:val="clear" w:color="auto" w:fill="FFFFFF"/>
        </w:rPr>
        <w:t>包括一般公共预算、政府性基金、国有资本经营预算等财政拨款收入，以及经营收入、事业收入等单位资金。2024年本部门收入预算1328.5万元，其中，一般公共预算拨款1328.5万元，政府性基金预算资金0.00万元(所以部门预算公开表15-17表为空)，国有资本经营预算资金0.00万元(所以部门预算公开表18表为空)，财政专户管理资金0.00万元(所以部门预算公开表19表为空)，上级补助收入资金0.00万元，事业单位经营收入资金0.00万元，上年结转结余0.00万元。收入较去年减少170.97万元，下降11.40%。主要原因是党政机关带头过紧日子，勤俭办一切事业，建立节约型财政保障机制，不新增预算，严格控制机关事业单位的一般性支出。</w:t>
      </w:r>
    </w:p>
    <w:p>
      <w:pPr>
        <w:spacing w:line="570" w:lineRule="atLeast"/>
        <w:rPr>
          <w:rFonts w:ascii="仿宋_GB2312" w:hAnsi="仿宋_GB2312" w:eastAsia="仿宋_GB2312" w:cs="仿宋_GB2312"/>
          <w:color w:val="000000"/>
          <w:sz w:val="32"/>
          <w:szCs w:val="32"/>
          <w:shd w:val="clear" w:color="auto" w:fill="FFFFFF"/>
        </w:rPr>
      </w:pPr>
      <w:r>
        <w:drawing>
          <wp:inline distT="0" distB="0" distL="114300" distR="114300">
            <wp:extent cx="4826000" cy="2743200"/>
            <wp:effectExtent l="4445" t="4445" r="8255" b="52705"/>
            <wp:docPr id="8" name="图表 7" descr="7b0a202020202263686172745265734964223a20223230343736303933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numPr>
          <w:ilvl w:val="0"/>
          <w:numId w:val="1"/>
        </w:num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支出预算：</w:t>
      </w:r>
      <w:r>
        <w:rPr>
          <w:rFonts w:hint="eastAsia" w:ascii="仿宋_GB2312" w:hAnsi="仿宋_GB2312" w:eastAsia="仿宋_GB2312" w:cs="仿宋_GB2312"/>
          <w:color w:val="000000"/>
          <w:sz w:val="32"/>
          <w:szCs w:val="32"/>
          <w:shd w:val="clear" w:color="auto" w:fill="FFFFFF"/>
        </w:rPr>
        <w:t>2024年本部门支出预算1328.5万元其中：一般公共服务支出1014.34万元，社会保障和就业支出207.25万元，卫生健康支出41.91万元，住房保障支出65万元。支出较去年减少170.97万元，下降11.40%。主要原因是党政机关带头过紧日子，勤俭办一切事业，建立节约型财政保障机制，不新增预算，严格控制机关事业单位的一般性支出。</w:t>
      </w:r>
    </w:p>
    <w:p>
      <w:pPr>
        <w:spacing w:line="570" w:lineRule="atLeast"/>
        <w:rPr>
          <w:rFonts w:ascii="仿宋_GB2312" w:hAnsi="仿宋_GB2312" w:eastAsia="仿宋_GB2312" w:cs="仿宋_GB2312"/>
          <w:color w:val="000000"/>
          <w:sz w:val="32"/>
          <w:szCs w:val="32"/>
          <w:shd w:val="clear" w:color="auto" w:fill="FFFFFF"/>
        </w:rPr>
      </w:pPr>
      <w:r>
        <w:drawing>
          <wp:inline distT="0" distB="0" distL="114300" distR="114300">
            <wp:extent cx="4596765" cy="3001010"/>
            <wp:effectExtent l="4445" t="4445" r="8890" b="23495"/>
            <wp:docPr id="2" name="图表 1" descr="7b0a202020202263686172745265734964223a202232303437353539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ind w:firstLine="643" w:firstLineChars="200"/>
        <w:rPr>
          <w:rFonts w:ascii="Times New Roman" w:hAnsi="Times New Roman" w:eastAsia="黑体" w:cs="Times New Roman"/>
          <w:b/>
          <w:bCs/>
          <w:kern w:val="0"/>
          <w:sz w:val="32"/>
          <w:szCs w:val="32"/>
        </w:rPr>
      </w:pPr>
      <w:r>
        <w:rPr>
          <w:rFonts w:hint="eastAsia" w:ascii="Times New Roman" w:hAnsi="Times New Roman" w:eastAsia="黑体" w:cs="Times New Roman"/>
          <w:b/>
          <w:bCs/>
          <w:kern w:val="0"/>
          <w:sz w:val="32"/>
          <w:szCs w:val="32"/>
        </w:rPr>
        <w:t>四、一般公共预算拨款支出</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2024年本部门一般公共预算拨款支出1328.5万元，其中：一般公共服务支出1014.34万元，占76.36%；社会保障和就业支出207.25万元，占15.6%；卫生健康支出41.91万元，占3.15%；住房保障支出65万元，占4.89%。具体安排情况如下：</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（一）基本支出：</w:t>
      </w:r>
      <w:r>
        <w:rPr>
          <w:rFonts w:hint="eastAsia" w:ascii="仿宋_GB2312" w:hAnsi="仿宋_GB2312" w:eastAsia="仿宋_GB2312" w:cs="仿宋_GB2312"/>
          <w:color w:val="000000"/>
          <w:sz w:val="32"/>
          <w:szCs w:val="32"/>
          <w:shd w:val="clear" w:color="auto" w:fill="FFFFFF"/>
        </w:rPr>
        <w:t>2024年本部门基本支出预算数987.3万元，主要是为保障部门正常运转、完成日常工作任务而发生的各项支出，包括用于基本工资、津贴补贴等人员经费以及办公费、印刷费、水电费、办公设备购置等公用经费。</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（二）项目支出：</w:t>
      </w:r>
      <w:r>
        <w:rPr>
          <w:rFonts w:hint="eastAsia" w:ascii="仿宋_GB2312" w:hAnsi="仿宋_GB2312" w:eastAsia="仿宋_GB2312" w:cs="仿宋_GB2312"/>
          <w:color w:val="000000"/>
          <w:sz w:val="32"/>
          <w:szCs w:val="32"/>
          <w:shd w:val="clear" w:color="auto" w:fill="FFFFFF"/>
        </w:rPr>
        <w:t>2024年本部门项目支出预算341.2万元，</w:t>
      </w:r>
      <w:r>
        <w:rPr>
          <w:rFonts w:hint="eastAsia" w:ascii="Times New Roman" w:hAnsi="Times New Roman" w:eastAsia="仿宋_GB2312" w:cs="Times New Roman"/>
          <w:sz w:val="32"/>
          <w:szCs w:val="32"/>
        </w:rPr>
        <w:t>主要是部门为完成特定行政工作任务或事业发展目标而发生的支出，包括</w:t>
      </w:r>
      <w:r>
        <w:rPr>
          <w:rFonts w:eastAsia="仿宋_GB2312"/>
          <w:sz w:val="32"/>
          <w:szCs w:val="32"/>
        </w:rPr>
        <w:t>包括</w:t>
      </w:r>
      <w:r>
        <w:rPr>
          <w:rFonts w:hint="eastAsia" w:eastAsia="仿宋_GB2312"/>
          <w:sz w:val="32"/>
          <w:szCs w:val="32"/>
        </w:rPr>
        <w:t>业务工作经费支出、运行维护经费</w:t>
      </w:r>
      <w:r>
        <w:rPr>
          <w:rFonts w:eastAsia="仿宋_GB2312"/>
          <w:sz w:val="32"/>
          <w:szCs w:val="32"/>
        </w:rPr>
        <w:t>等</w:t>
      </w:r>
      <w:r>
        <w:rPr>
          <w:rFonts w:hint="eastAsia" w:ascii="Times New Roman" w:hAnsi="Times New Roman" w:eastAsia="仿宋_GB2312" w:cs="Times New Roman"/>
          <w:sz w:val="32"/>
          <w:szCs w:val="32"/>
        </w:rPr>
        <w:t>，</w:t>
      </w:r>
      <w:r>
        <w:rPr>
          <w:rFonts w:hint="eastAsia" w:ascii="仿宋_GB2312" w:hAnsi="仿宋_GB2312" w:eastAsia="仿宋_GB2312" w:cs="仿宋_GB2312"/>
          <w:color w:val="000000"/>
          <w:sz w:val="32"/>
          <w:szCs w:val="32"/>
          <w:shd w:val="clear" w:color="auto" w:fill="FFFFFF"/>
        </w:rPr>
        <w:t>其中：一般公共服务支出599.36万元，</w:t>
      </w:r>
      <w:r>
        <w:rPr>
          <w:rFonts w:hint="eastAsia" w:ascii="Times New Roman" w:hAnsi="Times New Roman" w:eastAsia="仿宋_GB2312" w:cs="Times New Roman"/>
          <w:sz w:val="32"/>
          <w:szCs w:val="32"/>
        </w:rPr>
        <w:t>主要用于后勤工作、视频会议工作、禁毒专项等方面。</w:t>
      </w:r>
    </w:p>
    <w:p>
      <w:pPr>
        <w:ind w:firstLine="643" w:firstLineChars="200"/>
        <w:rPr>
          <w:rFonts w:ascii="Times New Roman" w:hAnsi="Times New Roman" w:eastAsia="黑体" w:cs="Times New Roman"/>
          <w:b/>
          <w:bCs/>
          <w:kern w:val="0"/>
          <w:sz w:val="32"/>
          <w:szCs w:val="32"/>
        </w:rPr>
      </w:pPr>
      <w:r>
        <w:rPr>
          <w:rFonts w:hint="eastAsia" w:ascii="Times New Roman" w:hAnsi="Times New Roman" w:eastAsia="黑体" w:cs="Times New Roman"/>
          <w:b/>
          <w:bCs/>
          <w:kern w:val="0"/>
          <w:sz w:val="32"/>
          <w:szCs w:val="32"/>
        </w:rPr>
        <w:t>五、政府性基金预算支出</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2024年度本部门无政府性基金安排的支出，所以公开的附件15-17表（政府性基金预算）为空。</w:t>
      </w:r>
    </w:p>
    <w:p>
      <w:pPr>
        <w:ind w:firstLine="643" w:firstLineChars="200"/>
        <w:rPr>
          <w:rFonts w:ascii="Times New Roman" w:hAnsi="Times New Roman" w:eastAsia="黑体" w:cs="Times New Roman"/>
          <w:b/>
          <w:bCs/>
          <w:kern w:val="0"/>
          <w:sz w:val="32"/>
          <w:szCs w:val="32"/>
        </w:rPr>
      </w:pPr>
      <w:r>
        <w:rPr>
          <w:rFonts w:hint="eastAsia" w:ascii="Times New Roman" w:hAnsi="Times New Roman" w:eastAsia="黑体" w:cs="Times New Roman"/>
          <w:b/>
          <w:bCs/>
          <w:kern w:val="0"/>
          <w:sz w:val="32"/>
          <w:szCs w:val="32"/>
        </w:rPr>
        <w:t>六、其他重要事项的情况说明</w:t>
      </w:r>
    </w:p>
    <w:p>
      <w:pPr>
        <w:pStyle w:val="5"/>
        <w:widowControl/>
        <w:spacing w:beforeAutospacing="0" w:afterAutospacing="0" w:line="22" w:lineRule="atLeast"/>
        <w:ind w:firstLine="643" w:firstLineChars="200"/>
        <w:jc w:val="both"/>
        <w:textAlignment w:val="center"/>
        <w:rPr>
          <w:rFonts w:ascii="仿宋_GB2312" w:hAnsi="仿宋_GB2312" w:eastAsia="仿宋_GB2312" w:cs="仿宋_GB2312"/>
          <w:color w:val="000000"/>
          <w:kern w:val="2"/>
          <w:sz w:val="32"/>
          <w:szCs w:val="32"/>
          <w:shd w:val="clear" w:color="auto" w:fill="FFFFFF"/>
        </w:rPr>
      </w:pPr>
      <w:r>
        <w:rPr>
          <w:rFonts w:hint="eastAsia" w:ascii="仿宋_GB2312" w:hAnsi="仿宋_GB2312" w:eastAsia="仿宋_GB2312" w:cs="仿宋_GB2312"/>
          <w:b/>
          <w:bCs/>
          <w:color w:val="000000"/>
          <w:sz w:val="32"/>
          <w:szCs w:val="32"/>
          <w:shd w:val="clear" w:color="auto" w:fill="FFFFFF"/>
        </w:rPr>
        <w:t>（一）机关运行经费：</w:t>
      </w:r>
      <w:r>
        <w:rPr>
          <w:rFonts w:hint="eastAsia" w:ascii="仿宋_GB2312" w:hAnsi="仿宋_GB2312" w:eastAsia="仿宋_GB2312" w:cs="仿宋_GB2312"/>
          <w:color w:val="000000"/>
          <w:kern w:val="2"/>
          <w:sz w:val="32"/>
          <w:szCs w:val="32"/>
          <w:shd w:val="clear" w:color="auto" w:fill="FFFFFF"/>
          <w:lang w:val="en-US" w:eastAsia="zh-CN" w:bidi="ar-SA"/>
        </w:rPr>
        <w:t>2024年本单位本级、</w:t>
      </w:r>
      <w:r>
        <w:rPr>
          <w:rFonts w:hint="eastAsia" w:eastAsia="仿宋_GB2312"/>
          <w:sz w:val="32"/>
          <w:szCs w:val="32"/>
        </w:rPr>
        <w:t>君山区经济研究中心</w:t>
      </w:r>
      <w:r>
        <w:rPr>
          <w:rFonts w:hint="eastAsia" w:eastAsia="仿宋_GB2312"/>
          <w:sz w:val="32"/>
          <w:szCs w:val="32"/>
          <w:lang w:eastAsia="zh-CN"/>
        </w:rPr>
        <w:t>和</w:t>
      </w:r>
      <w:r>
        <w:rPr>
          <w:rFonts w:hint="eastAsia" w:eastAsia="仿宋_GB2312"/>
          <w:sz w:val="32"/>
          <w:szCs w:val="32"/>
        </w:rPr>
        <w:t>君山区政府经济协作事务中心</w:t>
      </w:r>
      <w:r>
        <w:rPr>
          <w:rFonts w:hint="eastAsia" w:ascii="仿宋_GB2312" w:hAnsi="仿宋_GB2312" w:eastAsia="仿宋_GB2312" w:cs="仿宋_GB2312"/>
          <w:color w:val="000000"/>
          <w:kern w:val="2"/>
          <w:sz w:val="32"/>
          <w:szCs w:val="32"/>
          <w:shd w:val="clear" w:color="auto" w:fill="FFFFFF"/>
          <w:lang w:val="en-US" w:eastAsia="zh-CN" w:bidi="ar-SA"/>
        </w:rPr>
        <w:t>共3家</w:t>
      </w:r>
      <w:r>
        <w:rPr>
          <w:rFonts w:hint="eastAsia" w:ascii="仿宋_GB2312" w:hAnsi="仿宋_GB2312" w:eastAsia="仿宋_GB2312" w:cs="仿宋_GB2312"/>
          <w:color w:val="000000"/>
          <w:kern w:val="2"/>
          <w:sz w:val="32"/>
          <w:szCs w:val="32"/>
          <w:shd w:val="clear" w:color="auto" w:fill="FFFFFF"/>
          <w:lang w:val="en-US" w:eastAsia="zh-CN" w:bidi="ar-SA"/>
        </w:rPr>
        <w:t>行政事业单位</w:t>
      </w:r>
      <w:r>
        <w:rPr>
          <w:rFonts w:hint="eastAsia" w:ascii="仿宋_GB2312" w:hAnsi="仿宋_GB2312" w:eastAsia="仿宋_GB2312" w:cs="仿宋_GB2312"/>
          <w:color w:val="000000"/>
          <w:kern w:val="2"/>
          <w:sz w:val="32"/>
          <w:szCs w:val="32"/>
          <w:shd w:val="clear" w:color="auto" w:fill="FFFFFF"/>
          <w:lang w:val="en-US" w:eastAsia="zh-CN" w:bidi="ar-SA"/>
        </w:rPr>
        <w:t>汇总的机关运行经费131.44万元，比上年预算减少18.87万元，下降12.55%，主要原因是党政机关带头过紧日子，勤俭办一切事业，建立节约型财政保障机制，不新增预算，严格控制机关事业单位的一般性支出。</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（二）“三公”经费预算：</w:t>
      </w:r>
      <w:r>
        <w:rPr>
          <w:rFonts w:hint="eastAsia" w:ascii="仿宋_GB2312" w:hAnsi="仿宋_GB2312" w:eastAsia="仿宋_GB2312" w:cs="仿宋_GB2312"/>
          <w:color w:val="000000"/>
          <w:kern w:val="2"/>
          <w:sz w:val="32"/>
          <w:szCs w:val="32"/>
          <w:shd w:val="clear" w:color="auto" w:fill="FFFFFF"/>
          <w:lang w:val="en-US" w:eastAsia="zh-CN" w:bidi="ar-SA"/>
        </w:rPr>
        <w:t>2024年本单位本级、</w:t>
      </w:r>
      <w:r>
        <w:rPr>
          <w:rFonts w:hint="eastAsia" w:eastAsia="仿宋_GB2312"/>
          <w:sz w:val="32"/>
          <w:szCs w:val="32"/>
        </w:rPr>
        <w:t>君山区经济研究中心</w:t>
      </w:r>
      <w:r>
        <w:rPr>
          <w:rFonts w:hint="eastAsia" w:eastAsia="仿宋_GB2312"/>
          <w:sz w:val="32"/>
          <w:szCs w:val="32"/>
          <w:lang w:eastAsia="zh-CN"/>
        </w:rPr>
        <w:t>和</w:t>
      </w:r>
      <w:r>
        <w:rPr>
          <w:rFonts w:hint="eastAsia" w:eastAsia="仿宋_GB2312"/>
          <w:sz w:val="32"/>
          <w:szCs w:val="32"/>
        </w:rPr>
        <w:t>君山区政府经济协作事务中心</w:t>
      </w:r>
      <w:r>
        <w:rPr>
          <w:rFonts w:hint="eastAsia" w:ascii="仿宋_GB2312" w:hAnsi="仿宋_GB2312" w:eastAsia="仿宋_GB2312" w:cs="仿宋_GB2312"/>
          <w:color w:val="000000"/>
          <w:kern w:val="2"/>
          <w:sz w:val="32"/>
          <w:szCs w:val="32"/>
          <w:shd w:val="clear" w:color="auto" w:fill="FFFFFF"/>
          <w:lang w:val="en-US" w:eastAsia="zh-CN" w:bidi="ar-SA"/>
        </w:rPr>
        <w:t>共3家行政事业单位汇总的</w:t>
      </w:r>
      <w:r>
        <w:rPr>
          <w:rFonts w:hint="eastAsia" w:ascii="仿宋_GB2312" w:hAnsi="仿宋_GB2312" w:eastAsia="仿宋_GB2312" w:cs="仿宋_GB2312"/>
          <w:color w:val="000000"/>
          <w:sz w:val="32"/>
          <w:szCs w:val="32"/>
          <w:shd w:val="clear" w:color="auto" w:fill="FFFFFF"/>
        </w:rPr>
        <w:t>“三公”经费预算数为6.9万元，其中，公务接待费6.9万元，公务用车购置及运行费0万元（其中，公务用车购置费0万元，公务用车运行费0万元），因公出国（境）费0万元。2024年“三公”经费预算较2023年减少3.1万元，主要原因是严格落实中央“八项规定”精神和“过紧日子”的要求，从严控制“三公”经费支出。</w:t>
      </w:r>
      <w:bookmarkStart w:id="0" w:name="START_IS_ZERO_06_2"/>
      <w:bookmarkEnd w:id="0"/>
      <w:bookmarkStart w:id="1" w:name="END_IS_ZERO_06_1"/>
      <w:bookmarkEnd w:id="1"/>
      <w:bookmarkStart w:id="2" w:name="END_IS_ZERO_06_2"/>
      <w:bookmarkEnd w:id="2"/>
      <w:bookmarkStart w:id="3" w:name="DIS_MARK_IS_ZERO_06_2"/>
      <w:bookmarkEnd w:id="3"/>
    </w:p>
    <w:p>
      <w:pPr>
        <w:spacing w:line="600" w:lineRule="exact"/>
        <w:ind w:firstLine="643"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（三）一般性支出情况：</w:t>
      </w:r>
      <w:r>
        <w:rPr>
          <w:rFonts w:hint="eastAsia" w:ascii="仿宋_GB2312" w:hAnsi="仿宋_GB2312" w:eastAsia="仿宋_GB2312" w:cs="仿宋_GB2312"/>
          <w:color w:val="000000"/>
          <w:sz w:val="32"/>
          <w:szCs w:val="32"/>
          <w:shd w:val="clear" w:color="auto" w:fill="FFFFFF"/>
        </w:rPr>
        <w:t>2024年本部门会议费预算</w:t>
      </w:r>
      <w:r>
        <w:rPr>
          <w:rFonts w:hint="eastAsia" w:ascii="仿宋_GB2312" w:hAnsi="仿宋_GB2312" w:eastAsia="仿宋_GB2312" w:cs="仿宋_GB2312"/>
          <w:color w:val="000000"/>
          <w:sz w:val="32"/>
          <w:szCs w:val="32"/>
          <w:shd w:val="clear" w:color="auto" w:fill="FFFFFF"/>
          <w:lang w:val="en-US" w:eastAsia="zh-CN"/>
        </w:rPr>
        <w:t>3</w:t>
      </w:r>
      <w:r>
        <w:rPr>
          <w:rFonts w:hint="eastAsia" w:ascii="仿宋_GB2312" w:hAnsi="仿宋_GB2312" w:eastAsia="仿宋_GB2312" w:cs="仿宋_GB2312"/>
          <w:color w:val="000000"/>
          <w:sz w:val="32"/>
          <w:szCs w:val="32"/>
          <w:shd w:val="clear" w:color="auto" w:fill="FFFFFF"/>
        </w:rPr>
        <w:t>万元，拟召开12次会议，人数569人，内容为区长办公会、常委会，区经济工作会议、区党代会等；培训费预算0万元，拟开展0次培训，人数0人；未计划举办节庆、晚会、论坛、赛事活动，经费预算0万元。</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（四）政府采购情况：</w:t>
      </w:r>
      <w:r>
        <w:rPr>
          <w:rFonts w:hint="eastAsia" w:ascii="仿宋_GB2312" w:hAnsi="仿宋_GB2312" w:eastAsia="仿宋_GB2312" w:cs="仿宋_GB2312"/>
          <w:color w:val="000000"/>
          <w:sz w:val="32"/>
          <w:szCs w:val="32"/>
          <w:shd w:val="clear" w:color="auto" w:fill="FFFFFF"/>
        </w:rPr>
        <w:t>2024年本部门政府采购预算总额93万元，其中，货物类采购预算5万元；工程类采购预算0万元；服务类采购预算88万元。</w:t>
      </w:r>
    </w:p>
    <w:p>
      <w:pPr>
        <w:pStyle w:val="5"/>
        <w:widowControl/>
        <w:spacing w:beforeAutospacing="0" w:afterAutospacing="0" w:line="22" w:lineRule="atLeast"/>
        <w:ind w:firstLine="643" w:firstLineChars="200"/>
        <w:jc w:val="both"/>
        <w:textAlignment w:val="center"/>
        <w:rPr>
          <w:rFonts w:ascii="仿宋_GB2312" w:hAnsi="仿宋_GB2312" w:eastAsia="仿宋_GB2312" w:cs="仿宋_GB2312"/>
          <w:color w:val="000000"/>
          <w:kern w:val="2"/>
          <w:sz w:val="32"/>
          <w:szCs w:val="32"/>
          <w:shd w:val="clear" w:color="auto" w:fill="FFFFFF"/>
        </w:rPr>
      </w:pPr>
      <w:r>
        <w:rPr>
          <w:rFonts w:hint="eastAsia" w:ascii="仿宋_GB2312" w:hAnsi="仿宋_GB2312" w:eastAsia="仿宋_GB2312" w:cs="仿宋_GB2312"/>
          <w:b/>
          <w:bCs/>
          <w:color w:val="000000"/>
          <w:sz w:val="32"/>
          <w:szCs w:val="32"/>
          <w:shd w:val="clear" w:color="auto" w:fill="FFFFFF"/>
        </w:rPr>
        <w:t>（五）国有资产占用使用及新增资产配置情况：</w:t>
      </w:r>
      <w:r>
        <w:rPr>
          <w:rFonts w:hint="eastAsia" w:ascii="仿宋_GB2312" w:hAnsi="仿宋_GB2312" w:eastAsia="仿宋_GB2312" w:cs="仿宋_GB2312"/>
          <w:color w:val="000000"/>
          <w:kern w:val="2"/>
          <w:sz w:val="32"/>
          <w:szCs w:val="32"/>
          <w:shd w:val="clear" w:color="auto" w:fill="FFFFFF"/>
        </w:rPr>
        <w:t>截至2023年12月底，本单位共有公务用车0辆，其中，机要通信用车0辆，应急保障用车0辆，执法执勤用车0辆，特种专业技术用车0辆，其他按照规定配备的公务用车0辆；单位价值50万元以上设备0台，其中，单位价值100万元以上设备0台。</w:t>
      </w:r>
    </w:p>
    <w:p>
      <w:pPr>
        <w:pStyle w:val="5"/>
        <w:widowControl/>
        <w:spacing w:beforeAutospacing="0" w:afterAutospacing="0" w:line="22" w:lineRule="atLeast"/>
        <w:ind w:firstLine="640" w:firstLineChars="200"/>
        <w:jc w:val="both"/>
        <w:textAlignment w:val="center"/>
        <w:rPr>
          <w:rFonts w:ascii="仿宋_GB2312" w:hAnsi="仿宋_GB2312" w:eastAsia="仿宋_GB2312" w:cs="仿宋_GB2312"/>
          <w:color w:val="000000"/>
          <w:kern w:val="2"/>
          <w:sz w:val="32"/>
          <w:szCs w:val="32"/>
          <w:shd w:val="clear" w:color="auto" w:fill="FFFFFF"/>
        </w:rPr>
      </w:pPr>
      <w:r>
        <w:rPr>
          <w:rFonts w:hint="eastAsia" w:ascii="仿宋_GB2312" w:hAnsi="仿宋_GB2312" w:eastAsia="仿宋_GB2312" w:cs="仿宋_GB2312"/>
          <w:color w:val="000000"/>
          <w:kern w:val="2"/>
          <w:sz w:val="32"/>
          <w:szCs w:val="32"/>
          <w:shd w:val="clear" w:color="auto" w:fill="FFFFFF"/>
        </w:rPr>
        <w:t>2024年拟新增配置公务用车0辆，其中，机要通信用车0辆，应急保障用车0辆，执法执勤用车0辆，特种专业技术用车0辆，其他按照规定配备的公务用车0辆；新增配备单位价值50万元以上设备0台，其中，单位价值100万元以上设备0台。</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（六）预算绩效目标说明：</w:t>
      </w:r>
      <w:r>
        <w:rPr>
          <w:rFonts w:hint="eastAsia" w:ascii="仿宋_GB2312" w:hAnsi="仿宋_GB2312" w:eastAsia="仿宋_GB2312" w:cs="仿宋_GB2312"/>
          <w:color w:val="000000"/>
          <w:sz w:val="32"/>
          <w:szCs w:val="32"/>
          <w:shd w:val="clear" w:color="auto" w:fill="FFFFFF"/>
        </w:rPr>
        <w:t>本部门所有支出实行绩效目标管理。纳入2024年部门整体支出绩效目标的金额为1328.5万元，其中，基本支出987.3万元，项目支出341.2万元，具体绩效目标详见文尾附表中部门预算公开表21-22表。</w:t>
      </w:r>
    </w:p>
    <w:p>
      <w:pPr>
        <w:ind w:firstLine="643" w:firstLineChars="200"/>
        <w:rPr>
          <w:rFonts w:ascii="Times New Roman" w:hAnsi="Times New Roman" w:eastAsia="黑体" w:cs="Times New Roman"/>
          <w:b/>
          <w:bCs/>
          <w:kern w:val="0"/>
          <w:sz w:val="32"/>
          <w:szCs w:val="32"/>
        </w:rPr>
      </w:pPr>
      <w:r>
        <w:rPr>
          <w:rFonts w:hint="eastAsia" w:ascii="Times New Roman" w:hAnsi="Times New Roman" w:eastAsia="黑体" w:cs="Times New Roman"/>
          <w:b/>
          <w:bCs/>
          <w:kern w:val="0"/>
          <w:sz w:val="32"/>
          <w:szCs w:val="32"/>
        </w:rPr>
        <w:t>七、名词解释</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1．机关运行经费：</w:t>
      </w:r>
      <w:r>
        <w:rPr>
          <w:rFonts w:hint="eastAsia" w:ascii="仿宋_GB2312" w:hAnsi="仿宋_GB2312" w:eastAsia="仿宋_GB2312" w:cs="仿宋_GB2312"/>
          <w:color w:val="000000"/>
          <w:sz w:val="32"/>
          <w:szCs w:val="32"/>
          <w:shd w:val="clear" w:color="auto" w:fill="FFFFFF"/>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spacing w:line="570" w:lineRule="atLeast"/>
        <w:ind w:firstLine="643" w:firstLineChars="200"/>
        <w:rPr>
          <w:rFonts w:asciiTheme="minorEastAsia" w:hAnsiTheme="minorEastAsia" w:cstheme="minorEastAsia"/>
          <w:sz w:val="28"/>
          <w:szCs w:val="28"/>
        </w:rPr>
      </w:pPr>
      <w:r>
        <w:rPr>
          <w:rFonts w:hint="eastAsia" w:ascii="仿宋_GB2312" w:hAnsi="仿宋_GB2312" w:eastAsia="仿宋_GB2312" w:cs="仿宋_GB2312"/>
          <w:b/>
          <w:bCs/>
          <w:color w:val="000000"/>
          <w:sz w:val="32"/>
          <w:szCs w:val="32"/>
          <w:shd w:val="clear" w:color="auto" w:fill="FFFFFF"/>
        </w:rPr>
        <w:t>2．“三公”经费：</w:t>
      </w:r>
      <w:r>
        <w:rPr>
          <w:rFonts w:hint="eastAsia" w:ascii="仿宋_GB2312" w:hAnsi="仿宋_GB2312" w:eastAsia="仿宋_GB2312" w:cs="仿宋_GB2312"/>
          <w:color w:val="000000"/>
          <w:sz w:val="32"/>
          <w:szCs w:val="32"/>
          <w:shd w:val="clear" w:color="auto" w:fill="FFFFFF"/>
        </w:rPr>
        <w:t>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支出。</w:t>
      </w:r>
    </w:p>
    <w:p>
      <w:pPr>
        <w:pStyle w:val="5"/>
        <w:widowControl/>
        <w:spacing w:beforeAutospacing="0" w:afterAutospacing="0" w:line="22" w:lineRule="atLeast"/>
        <w:jc w:val="center"/>
        <w:textAlignment w:val="center"/>
        <w:rPr>
          <w:rFonts w:ascii="方正小标宋简体" w:hAnsi="Times New Roman" w:eastAsia="方正小标宋简体"/>
          <w:b/>
          <w:bCs/>
          <w:sz w:val="36"/>
          <w:szCs w:val="36"/>
        </w:rPr>
      </w:pPr>
    </w:p>
    <w:p>
      <w:pPr>
        <w:pStyle w:val="5"/>
        <w:widowControl/>
        <w:spacing w:beforeAutospacing="0" w:afterAutospacing="0" w:line="22" w:lineRule="atLeast"/>
        <w:jc w:val="center"/>
        <w:textAlignment w:val="center"/>
        <w:rPr>
          <w:rFonts w:ascii="方正小标宋简体" w:hAnsi="Times New Roman" w:eastAsia="方正小标宋简体"/>
          <w:b/>
          <w:bCs/>
          <w:sz w:val="36"/>
          <w:szCs w:val="36"/>
        </w:rPr>
      </w:pPr>
    </w:p>
    <w:p>
      <w:pPr>
        <w:pStyle w:val="5"/>
        <w:widowControl/>
        <w:spacing w:beforeAutospacing="0" w:afterAutospacing="0" w:line="22" w:lineRule="atLeast"/>
        <w:jc w:val="center"/>
        <w:textAlignment w:val="center"/>
        <w:rPr>
          <w:rFonts w:ascii="方正小标宋简体" w:hAnsi="Times New Roman" w:eastAsia="方正小标宋简体"/>
          <w:b/>
          <w:bCs/>
          <w:sz w:val="36"/>
          <w:szCs w:val="36"/>
        </w:rPr>
      </w:pPr>
    </w:p>
    <w:p>
      <w:pPr>
        <w:pStyle w:val="5"/>
        <w:widowControl/>
        <w:spacing w:beforeAutospacing="0" w:afterAutospacing="0" w:line="22" w:lineRule="atLeast"/>
        <w:jc w:val="center"/>
        <w:textAlignment w:val="center"/>
        <w:rPr>
          <w:rFonts w:ascii="方正小标宋简体" w:hAnsi="Times New Roman" w:eastAsia="方正小标宋简体"/>
          <w:b/>
          <w:bCs/>
          <w:sz w:val="36"/>
          <w:szCs w:val="36"/>
        </w:rPr>
      </w:pPr>
    </w:p>
    <w:p>
      <w:pPr>
        <w:pStyle w:val="5"/>
        <w:widowControl/>
        <w:spacing w:beforeAutospacing="0" w:afterAutospacing="0" w:line="22" w:lineRule="atLeast"/>
        <w:jc w:val="center"/>
        <w:textAlignment w:val="center"/>
        <w:rPr>
          <w:rFonts w:ascii="方正小标宋简体" w:hAnsi="Times New Roman" w:eastAsia="方正小标宋简体"/>
          <w:b/>
          <w:bCs/>
          <w:sz w:val="36"/>
          <w:szCs w:val="36"/>
        </w:rPr>
      </w:pPr>
    </w:p>
    <w:p>
      <w:pPr>
        <w:pStyle w:val="5"/>
        <w:widowControl/>
        <w:spacing w:beforeAutospacing="0" w:afterAutospacing="0" w:line="22" w:lineRule="atLeast"/>
        <w:jc w:val="center"/>
        <w:textAlignment w:val="center"/>
        <w:rPr>
          <w:rFonts w:ascii="方正小标宋简体" w:hAnsi="Times New Roman" w:eastAsia="方正小标宋简体"/>
          <w:b/>
          <w:bCs/>
          <w:sz w:val="36"/>
          <w:szCs w:val="36"/>
        </w:rPr>
      </w:pPr>
      <w:bookmarkStart w:id="4" w:name="_GoBack"/>
      <w:bookmarkEnd w:id="4"/>
    </w:p>
    <w:p>
      <w:pPr>
        <w:pStyle w:val="5"/>
        <w:widowControl/>
        <w:spacing w:beforeAutospacing="0" w:afterAutospacing="0" w:line="22" w:lineRule="atLeast"/>
        <w:jc w:val="center"/>
        <w:textAlignment w:val="center"/>
        <w:rPr>
          <w:rFonts w:asciiTheme="minorEastAsia" w:hAnsiTheme="minorEastAsia" w:cstheme="minorEastAsia"/>
          <w:sz w:val="28"/>
          <w:szCs w:val="28"/>
        </w:rPr>
      </w:pPr>
      <w:r>
        <w:rPr>
          <w:rFonts w:hint="eastAsia" w:ascii="方正小标宋简体" w:hAnsi="Times New Roman" w:eastAsia="方正小标宋简体"/>
          <w:b/>
          <w:bCs/>
          <w:sz w:val="36"/>
          <w:szCs w:val="36"/>
        </w:rPr>
        <w:t>第二部分  2024年部门预算公开表格</w:t>
      </w:r>
    </w:p>
    <w:p>
      <w:pPr>
        <w:spacing w:line="570" w:lineRule="atLeast"/>
        <w:ind w:firstLine="640" w:firstLineChars="200"/>
        <w:rPr>
          <w:rFonts w:ascii="仿宋_GB2312" w:hAnsi="仿宋_GB2312" w:eastAsia="仿宋_GB2312" w:cs="仿宋_GB2312"/>
          <w:color w:val="000000"/>
          <w:sz w:val="32"/>
          <w:szCs w:val="32"/>
          <w:shd w:val="clear" w:color="auto" w:fill="FFFFFF"/>
        </w:rPr>
      </w:pP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1、收支总表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2、收入总表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3、支出总表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4、支出预算分类汇总表（按政府预算经济分类）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5、支出预算分类汇总表（按部门预算经济分类）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6、财政拨款收支总表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7、一般公共预算支出表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8、一般公共预算基本支出表-人员经费（工资福利支出）（按政府预算经济分类）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9、一般公共预算基本支出表-人员经费（工资福利支出）（按部门预算经济分类）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10、一般公共预算基本支出表-人员经费（对个人和家庭的补助）（按政府预算经济分类）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11、一般公共预算基本支出表-人员经费（对个人和家庭的补助）（按部门预算经济分类）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12、一般公共预算基本支出表-公用经费（商品和服务支出）（按政府预算经济分类）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13、一般公共预算基本支出表-公用经费（商品和服务支出）（按部门预算经济分类）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14、一般公共预算“三公”经费支出表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15、政府性基金预算支出表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16、政府性基金预算支出分类汇总表（按政府预算经济分类）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17、政府性基金预算支出分类汇总表（按部门预算经济分类）</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18、国有资本经营预算支出表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19、财政专户管理资金预算支出表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20、专项资金预算汇总表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21、项目支出绩效目标表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22、部门整体支出绩效目标表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23、一般公共预算基本支出表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注：以上部门预算公开报表中，空表表示本部门无相关收支情况。</w:t>
      </w:r>
    </w:p>
    <w:p>
      <w:pPr>
        <w:pStyle w:val="5"/>
        <w:widowControl/>
        <w:spacing w:beforeAutospacing="0" w:afterAutospacing="0" w:line="22" w:lineRule="atLeast"/>
        <w:jc w:val="both"/>
        <w:textAlignment w:val="center"/>
        <w:rPr>
          <w:rFonts w:ascii="仿宋_GB2312" w:hAnsi="仿宋_GB2312" w:eastAsia="仿宋_GB2312" w:cs="仿宋_GB2312"/>
          <w:color w:val="000000"/>
          <w:kern w:val="2"/>
          <w:sz w:val="32"/>
          <w:szCs w:val="32"/>
          <w:shd w:val="clear" w:color="auto" w:fill="FFFFFF"/>
        </w:rPr>
      </w:pPr>
    </w:p>
    <w:p>
      <w:pPr>
        <w:pStyle w:val="5"/>
        <w:widowControl/>
        <w:spacing w:beforeAutospacing="0" w:afterAutospacing="0" w:line="22" w:lineRule="atLeast"/>
        <w:ind w:firstLine="643" w:firstLineChars="200"/>
        <w:jc w:val="both"/>
        <w:textAlignment w:val="center"/>
        <w:rPr>
          <w:rFonts w:ascii="仿宋_GB2312" w:hAnsi="仿宋_GB2312" w:eastAsia="仿宋_GB2312" w:cs="仿宋_GB2312"/>
          <w:color w:val="000000"/>
          <w:kern w:val="2"/>
          <w:sz w:val="32"/>
          <w:szCs w:val="32"/>
          <w:shd w:val="clear" w:color="auto" w:fill="FFFFFF"/>
        </w:rPr>
      </w:pPr>
      <w:r>
        <w:rPr>
          <w:rFonts w:hint="eastAsia" w:ascii="仿宋_GB2312" w:hAnsi="仿宋_GB2312" w:eastAsia="仿宋_GB2312" w:cs="仿宋_GB2312"/>
          <w:b/>
          <w:bCs/>
          <w:color w:val="000000"/>
          <w:kern w:val="2"/>
          <w:sz w:val="32"/>
          <w:szCs w:val="32"/>
          <w:shd w:val="clear" w:color="auto" w:fill="FFFFFF"/>
        </w:rPr>
        <w:t>附件：岳阳市君山区人民政府办公室2024年部门预算公开表</w:t>
      </w:r>
    </w:p>
    <w:p>
      <w:pPr>
        <w:pStyle w:val="5"/>
        <w:widowControl/>
        <w:spacing w:beforeAutospacing="0" w:afterAutospacing="0" w:line="22" w:lineRule="atLeast"/>
        <w:jc w:val="both"/>
        <w:textAlignment w:val="center"/>
        <w:rPr>
          <w:rFonts w:asciiTheme="minorEastAsia" w:hAnsiTheme="minorEastAsia" w:cstheme="minorEastAsia"/>
          <w:b/>
          <w:bCs/>
          <w:color w:val="333333"/>
          <w:sz w:val="28"/>
          <w:szCs w:val="28"/>
          <w:shd w:val="clear" w:color="auto"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50E854"/>
    <w:multiLevelType w:val="singleLevel"/>
    <w:tmpl w:val="A250E85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4OWI1YTBjMDVmMmNiM2E1MjU2ZTkzMDY0OTdlNjQifQ=="/>
  </w:docVars>
  <w:rsids>
    <w:rsidRoot w:val="637274E6"/>
    <w:rsid w:val="00073AA4"/>
    <w:rsid w:val="0030017D"/>
    <w:rsid w:val="003B0583"/>
    <w:rsid w:val="00450D57"/>
    <w:rsid w:val="00604F66"/>
    <w:rsid w:val="00684FED"/>
    <w:rsid w:val="010827C0"/>
    <w:rsid w:val="010D1261"/>
    <w:rsid w:val="05974297"/>
    <w:rsid w:val="066547B5"/>
    <w:rsid w:val="0794481D"/>
    <w:rsid w:val="08B97B9F"/>
    <w:rsid w:val="0BC81D71"/>
    <w:rsid w:val="0BD240F7"/>
    <w:rsid w:val="0C923A83"/>
    <w:rsid w:val="0E5B42C5"/>
    <w:rsid w:val="112B4160"/>
    <w:rsid w:val="11A2545A"/>
    <w:rsid w:val="167C1082"/>
    <w:rsid w:val="16FB76F0"/>
    <w:rsid w:val="1AB469DE"/>
    <w:rsid w:val="1C6F6CFF"/>
    <w:rsid w:val="1C744CBF"/>
    <w:rsid w:val="1ECC4DAF"/>
    <w:rsid w:val="1F8F2DF1"/>
    <w:rsid w:val="20CE0ED9"/>
    <w:rsid w:val="22CF50BC"/>
    <w:rsid w:val="22E36792"/>
    <w:rsid w:val="232333DF"/>
    <w:rsid w:val="25BF7042"/>
    <w:rsid w:val="26C86245"/>
    <w:rsid w:val="29BC4134"/>
    <w:rsid w:val="2C6F6899"/>
    <w:rsid w:val="2C8B2374"/>
    <w:rsid w:val="2CD84711"/>
    <w:rsid w:val="2D3A78E3"/>
    <w:rsid w:val="328F1D91"/>
    <w:rsid w:val="427D1B8C"/>
    <w:rsid w:val="436D70FC"/>
    <w:rsid w:val="46004DE1"/>
    <w:rsid w:val="47D54104"/>
    <w:rsid w:val="49B90028"/>
    <w:rsid w:val="4AF62C56"/>
    <w:rsid w:val="4DBA372C"/>
    <w:rsid w:val="4E511DD4"/>
    <w:rsid w:val="4EE728E7"/>
    <w:rsid w:val="51B62990"/>
    <w:rsid w:val="584D797F"/>
    <w:rsid w:val="5B525B22"/>
    <w:rsid w:val="5BCD52BC"/>
    <w:rsid w:val="5D4F6922"/>
    <w:rsid w:val="62CB7F2F"/>
    <w:rsid w:val="637274E6"/>
    <w:rsid w:val="659A6EE8"/>
    <w:rsid w:val="666D1BC7"/>
    <w:rsid w:val="68675E30"/>
    <w:rsid w:val="699851AD"/>
    <w:rsid w:val="6C601EDD"/>
    <w:rsid w:val="6D6656CC"/>
    <w:rsid w:val="6D6B4986"/>
    <w:rsid w:val="6DE7565E"/>
    <w:rsid w:val="73626AED"/>
    <w:rsid w:val="74E078D2"/>
    <w:rsid w:val="78CC0C1A"/>
    <w:rsid w:val="7C7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Hyperlink"/>
    <w:basedOn w:val="7"/>
    <w:qFormat/>
    <w:uiPriority w:val="0"/>
    <w:rPr>
      <w:color w:val="0000FF"/>
      <w:u w:val="single"/>
    </w:rPr>
  </w:style>
  <w:style w:type="character" w:customStyle="1" w:styleId="9">
    <w:name w:val="页眉 Char"/>
    <w:basedOn w:val="7"/>
    <w:link w:val="4"/>
    <w:uiPriority w:val="0"/>
    <w:rPr>
      <w:kern w:val="2"/>
      <w:sz w:val="18"/>
      <w:szCs w:val="18"/>
    </w:rPr>
  </w:style>
  <w:style w:type="character" w:customStyle="1" w:styleId="10">
    <w:name w:val="页脚 Char"/>
    <w:basedOn w:val="7"/>
    <w:link w:val="3"/>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C:\Users\Administrator\Desktop\&#25910;&#20837;&#39044;&#31639;&#2227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5910;&#20837;&#39044;&#31639;&#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solidFill>
                <a:latin typeface="+mn-lt"/>
                <a:ea typeface="+mn-ea"/>
                <a:cs typeface="+mn-cs"/>
              </a:defRPr>
            </a:pPr>
            <a:r>
              <a:t>收入预算图</a:t>
            </a:r>
          </a:p>
        </c:rich>
      </c:tx>
      <c:layout/>
      <c:overlay val="0"/>
      <c:spPr>
        <a:noFill/>
        <a:ln>
          <a:noFill/>
        </a:ln>
        <a:effectLst/>
      </c:spPr>
    </c:title>
    <c:autoTitleDeleted val="0"/>
    <c:view3D>
      <c:rotX val="25"/>
      <c:rotY val="0"/>
      <c:depthPercent val="100"/>
      <c:rAngAx val="0"/>
      <c:perspective val="20"/>
    </c:view3D>
    <c:floor>
      <c:thickness val="0"/>
    </c:floor>
    <c:sideWall>
      <c:thickness val="0"/>
    </c:sideWall>
    <c:backWall>
      <c:thickness val="0"/>
    </c:backWall>
    <c:plotArea>
      <c:layout/>
      <c:pie3DChart>
        <c:varyColors val="1"/>
        <c:ser>
          <c:idx val="0"/>
          <c:order val="0"/>
          <c:spPr>
            <a:ln w="15875" cmpd="sng">
              <a:solidFill>
                <a:schemeClr val="bg1"/>
              </a:solidFill>
              <a:prstDash val="solid"/>
            </a:ln>
            <a:effectLst/>
            <a:scene3d>
              <a:camera prst="orthographicFront"/>
              <a:lightRig rig="threePt" dir="t"/>
            </a:scene3d>
            <a:sp3d contourW="15875" prstMaterial="flat"/>
          </c:spPr>
          <c:explosion val="0"/>
          <c:dPt>
            <c:idx val="0"/>
            <c:bubble3D val="0"/>
            <c:spPr>
              <a:gradFill>
                <a:gsLst>
                  <a:gs pos="0">
                    <a:schemeClr val="accent1">
                      <a:lumMod val="60000"/>
                      <a:lumOff val="40000"/>
                    </a:schemeClr>
                  </a:gs>
                  <a:gs pos="70000">
                    <a:schemeClr val="accent1"/>
                  </a:gs>
                </a:gsLst>
                <a:lin ang="13500000" scaled="0"/>
              </a:gradFill>
              <a:ln w="15875" cmpd="sng">
                <a:solidFill>
                  <a:schemeClr val="accent1">
                    <a:lumMod val="75000"/>
                  </a:schemeClr>
                </a:solidFill>
                <a:prstDash val="solid"/>
              </a:ln>
              <a:effectLst/>
              <a:scene3d>
                <a:camera prst="orthographicFront"/>
                <a:lightRig rig="threePt" dir="t"/>
              </a:scene3d>
              <a:sp3d contourW="15875" prstMaterial="flat"/>
            </c:spPr>
          </c:dPt>
          <c:dLbls>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bg1"/>
                    </a:solidFill>
                    <a:effectLst>
                      <a:outerShdw blurRad="50800" dist="38100" dir="2700000" algn="tl" rotWithShape="0">
                        <a:prstClr val="black">
                          <a:alpha val="40000"/>
                        </a:prstClr>
                      </a:outerShdw>
                    </a:effectLst>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[收入预算图.xlsx]Sheet1!$B$31:$B$32</c15:sqref>
                  </c15:fullRef>
                </c:ext>
              </c:extLst>
              <c:f>[收入预算图.xlsx]Sheet1!$B$31</c:f>
              <c:strCache>
                <c:ptCount val="1"/>
                <c:pt idx="0">
                  <c:v>一般公共预算拨款收入</c:v>
                </c:pt>
              </c:strCache>
            </c:strRef>
          </c:cat>
          <c:val>
            <c:numRef>
              <c:extLst>
                <c:ext xmlns:c15="http://schemas.microsoft.com/office/drawing/2012/chart" uri="{02D57815-91ED-43cb-92C2-25804820EDAC}">
                  <c15:fullRef>
                    <c15:sqref>Sheet1!$C$31:$C$32</c15:sqref>
                  </c15:fullRef>
                </c:ext>
              </c:extLst>
              <c:f>[收入预算图.xlsx]Sheet1!$C$31</c:f>
              <c:numCache>
                <c:formatCode>0%</c:formatCode>
                <c:ptCount val="1"/>
                <c:pt idx="0">
                  <c:v>1</c:v>
                </c:pt>
              </c:numCache>
            </c:numRef>
          </c:val>
        </c:ser>
        <c:dLbls>
          <c:showLegendKey val="0"/>
          <c:showVal val="0"/>
          <c:showCatName val="0"/>
          <c:showSerName val="0"/>
          <c:showPercent val="1"/>
          <c:showBubbleSize val="0"/>
        </c:dLbls>
      </c:pie3DChart>
      <c:spPr>
        <a:noFill/>
        <a:ln>
          <a:noFill/>
        </a:ln>
        <a:effectLst/>
      </c:spPr>
    </c:plotArea>
    <c:legend>
      <c:legendPos val="r"/>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bg1">
          <a:lumMod val="85000"/>
        </a:schemeClr>
      </a:solidFill>
      <a:prstDash val="solid"/>
      <a:round/>
    </a:ln>
    <a:effectLst>
      <a:outerShdw blurRad="63500" dist="37357" dir="2700000" sx="0" sy="0" rotWithShape="0">
        <a:scrgbClr r="0" g="0" b="0"/>
      </a:outerShdw>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r>
              <a:t>支出预算图</a:t>
            </a:r>
          </a:p>
        </c:rich>
      </c:tx>
      <c:layout/>
      <c:overlay val="0"/>
      <c:spPr>
        <a:noFill/>
        <a:ln>
          <a:noFill/>
        </a:ln>
        <a:effectLst/>
      </c:spPr>
    </c:title>
    <c:autoTitleDeleted val="0"/>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0.0867440254178755"/>
          <c:y val="0.302044011849344"/>
          <c:w val="0.826511949164248"/>
          <c:h val="0.612797291578503"/>
        </c:manualLayout>
      </c:layout>
      <c:pie3DChart>
        <c:varyColors val="1"/>
        <c:ser>
          <c:idx val="0"/>
          <c:order val="0"/>
          <c:spPr>
            <a:scene3d>
              <a:camera prst="orthographicFront"/>
              <a:lightRig rig="threePt" dir="t"/>
            </a:scene3d>
            <a:sp3d contourW="9525"/>
          </c:spPr>
          <c:explosion val="0"/>
          <c:dPt>
            <c:idx val="0"/>
            <c:bubble3D val="0"/>
            <c:spPr>
              <a:gradFill>
                <a:gsLst>
                  <a:gs pos="100000">
                    <a:schemeClr val="accent1"/>
                  </a:gs>
                  <a:gs pos="0">
                    <a:schemeClr val="accent1">
                      <a:hueOff val="-1670000"/>
                    </a:schemeClr>
                  </a:gs>
                </a:gsLst>
                <a:lin ang="5400000" scaled="0"/>
              </a:gradFill>
              <a:ln>
                <a:gradFill>
                  <a:gsLst>
                    <a:gs pos="100000">
                      <a:schemeClr val="accent1">
                        <a:lumMod val="75000"/>
                      </a:schemeClr>
                    </a:gs>
                    <a:gs pos="0">
                      <a:schemeClr val="accent1">
                        <a:lumMod val="75000"/>
                        <a:hueOff val="-1670000"/>
                      </a:schemeClr>
                    </a:gs>
                  </a:gsLst>
                  <a:lin ang="4620000" scaled="0"/>
                </a:gradFill>
              </a:ln>
              <a:effectLst/>
            </c:spPr>
          </c:dPt>
          <c:dPt>
            <c:idx val="1"/>
            <c:bubble3D val="0"/>
            <c:spPr>
              <a:gradFill>
                <a:gsLst>
                  <a:gs pos="100000">
                    <a:schemeClr val="accent2"/>
                  </a:gs>
                  <a:gs pos="0">
                    <a:schemeClr val="accent2">
                      <a:hueOff val="-1670000"/>
                    </a:schemeClr>
                  </a:gs>
                </a:gsLst>
                <a:lin ang="5400000" scaled="0"/>
              </a:gradFill>
              <a:ln>
                <a:gradFill>
                  <a:gsLst>
                    <a:gs pos="100000">
                      <a:schemeClr val="accent2">
                        <a:lumMod val="75000"/>
                      </a:schemeClr>
                    </a:gs>
                    <a:gs pos="0">
                      <a:schemeClr val="accent2">
                        <a:lumMod val="75000"/>
                        <a:hueOff val="-1670000"/>
                      </a:schemeClr>
                    </a:gs>
                  </a:gsLst>
                  <a:lin ang="4620000" scaled="0"/>
                </a:gradFill>
              </a:ln>
              <a:effectLst/>
            </c:spPr>
          </c:dPt>
          <c:dPt>
            <c:idx val="2"/>
            <c:bubble3D val="0"/>
            <c:spPr>
              <a:gradFill>
                <a:gsLst>
                  <a:gs pos="100000">
                    <a:schemeClr val="accent3"/>
                  </a:gs>
                  <a:gs pos="0">
                    <a:schemeClr val="accent3">
                      <a:hueOff val="-1670000"/>
                    </a:schemeClr>
                  </a:gs>
                </a:gsLst>
                <a:lin ang="5400000" scaled="0"/>
              </a:gradFill>
              <a:ln>
                <a:gradFill>
                  <a:gsLst>
                    <a:gs pos="100000">
                      <a:schemeClr val="accent3">
                        <a:lumMod val="75000"/>
                      </a:schemeClr>
                    </a:gs>
                    <a:gs pos="0">
                      <a:schemeClr val="accent3">
                        <a:lumMod val="75000"/>
                        <a:hueOff val="-1670000"/>
                      </a:schemeClr>
                    </a:gs>
                  </a:gsLst>
                  <a:lin ang="4620000" scaled="0"/>
                </a:gradFill>
              </a:ln>
              <a:effectLst/>
            </c:spPr>
          </c:dPt>
          <c:dPt>
            <c:idx val="3"/>
            <c:bubble3D val="0"/>
            <c:spPr>
              <a:gradFill>
                <a:gsLst>
                  <a:gs pos="100000">
                    <a:schemeClr val="accent4"/>
                  </a:gs>
                  <a:gs pos="0">
                    <a:schemeClr val="accent4">
                      <a:hueOff val="-1670000"/>
                    </a:schemeClr>
                  </a:gs>
                </a:gsLst>
                <a:lin ang="5400000" scaled="0"/>
              </a:gradFill>
              <a:ln>
                <a:gradFill>
                  <a:gsLst>
                    <a:gs pos="100000">
                      <a:schemeClr val="accent4">
                        <a:lumMod val="75000"/>
                      </a:schemeClr>
                    </a:gs>
                    <a:gs pos="0">
                      <a:schemeClr val="accent4">
                        <a:lumMod val="75000"/>
                        <a:hueOff val="-1670000"/>
                      </a:schemeClr>
                    </a:gs>
                  </a:gsLst>
                  <a:lin ang="4620000" scaled="0"/>
                </a:gradFill>
              </a:ln>
              <a:effectLst/>
            </c:spPr>
          </c:dPt>
          <c:dLbls>
            <c:dLbl>
              <c:idx val="0"/>
              <c:layout>
                <c:manualLayout>
                  <c:x val="-0.04247704510012"/>
                  <c:y val="-0.0260843754663788"/>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21836119124768"/>
                  <c:y val="0.0356008671323811"/>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130597809552784"/>
                  <c:y val="-0.069293478260869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240660118818549"/>
                  <c:y val="0.0108389392220462"/>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0%" sourceLinked="0"/>
            <c:spPr>
              <a:solidFill>
                <a:sysClr val="window" lastClr="FFFFFF"/>
              </a:solidFill>
              <a:ln>
                <a:solidFill>
                  <a:sysClr val="windowText" lastClr="000000">
                    <a:lumMod val="65000"/>
                    <a:lumOff val="35000"/>
                  </a:sysClr>
                </a:solid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lumMod val="75000"/>
                        <a:lumOff val="25000"/>
                      </a:schemeClr>
                    </a:solidFill>
                    <a:latin typeface="+mn-lt"/>
                    <a:ea typeface="+mn-ea"/>
                    <a:cs typeface="+mn-cs"/>
                  </a:defRPr>
                </a:pPr>
              </a:p>
            </c:txPr>
            <c:dLblPos val="outEnd"/>
            <c:showLegendKey val="0"/>
            <c:showVal val="0"/>
            <c:showCatName val="1"/>
            <c:showSerName val="0"/>
            <c:showPercent val="1"/>
            <c:showBubbleSize val="0"/>
            <c:separator> </c:separator>
            <c:showLeaderLines val="1"/>
            <c:extLst>
              <c:ext xmlns:c15="http://schemas.microsoft.com/office/drawing/2012/chart" uri="{CE6537A1-D6FC-4f65-9D91-7224C49458BB}">
                <c15:spPr xmlns:c15="http://schemas.microsoft.com/office/drawing/2012/chart">
                  <a:prstGeom prst="roundRect">
                    <a:avLst/>
                  </a:prstGeom>
                  <a:noFill/>
                  <a:ln>
                    <a:noFill/>
                  </a:ln>
                </c15:spPr>
                <c15:layout/>
                <c15:showLeaderLines val="1"/>
                <c15:leaderLines>
                  <c:spPr>
                    <a:ln w="9525" cap="flat" cmpd="sng" algn="ctr">
                      <a:solidFill>
                        <a:schemeClr val="dk1">
                          <a:lumMod val="35000"/>
                          <a:lumOff val="65000"/>
                        </a:schemeClr>
                      </a:solidFill>
                      <a:prstDash val="solid"/>
                      <a:round/>
                    </a:ln>
                    <a:effectLst/>
                  </c:spPr>
                </c15:leaderLines>
              </c:ext>
            </c:extLst>
          </c:dLbls>
          <c:cat>
            <c:strRef>
              <c:f>[收入预算图.xlsx]Sheet1!$B$2:$B$5</c:f>
              <c:strCache>
                <c:ptCount val="4"/>
                <c:pt idx="0">
                  <c:v>社会保障和就业支出</c:v>
                </c:pt>
                <c:pt idx="1">
                  <c:v>卫生健康支出</c:v>
                </c:pt>
                <c:pt idx="2">
                  <c:v>一般公共服务支出</c:v>
                </c:pt>
                <c:pt idx="3">
                  <c:v>住房保障支出</c:v>
                </c:pt>
              </c:strCache>
            </c:strRef>
          </c:cat>
          <c:val>
            <c:numRef>
              <c:f>[收入预算图.xlsx]Sheet1!$C$2:$C$5</c:f>
              <c:numCache>
                <c:formatCode>0.00%</c:formatCode>
                <c:ptCount val="4"/>
                <c:pt idx="0">
                  <c:v>0.156</c:v>
                </c:pt>
                <c:pt idx="1">
                  <c:v>0.0315</c:v>
                </c:pt>
                <c:pt idx="2">
                  <c:v>0.763600000000001</c:v>
                </c:pt>
                <c:pt idx="3">
                  <c:v>0.0489</c:v>
                </c:pt>
              </c:numCache>
            </c:numRef>
          </c:val>
        </c:ser>
        <c:dLbls>
          <c:showLegendKey val="0"/>
          <c:showVal val="0"/>
          <c:showCatName val="1"/>
          <c:showSerName val="0"/>
          <c:showPercent val="1"/>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p>
      </c:txPr>
    </c:legend>
    <c:plotVisOnly val="1"/>
    <c:dispBlanksAs val="zero"/>
    <c:showDLblsOverMax val="0"/>
  </c:chart>
  <c:spPr>
    <a:solidFill>
      <a:schemeClr val="lt1">
        <a:lumMod val="96000"/>
      </a:schemeClr>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自定义 6">
    <a:dk1>
      <a:srgbClr val="000000"/>
    </a:dk1>
    <a:lt1>
      <a:srgbClr val="FFFFFF"/>
    </a:lt1>
    <a:dk2>
      <a:srgbClr val="0C0E1F"/>
    </a:dk2>
    <a:lt2>
      <a:srgbClr val="FEFFFF"/>
    </a:lt2>
    <a:accent1>
      <a:srgbClr val="54C9FA"/>
    </a:accent1>
    <a:accent2>
      <a:srgbClr val="6C92FD"/>
    </a:accent2>
    <a:accent3>
      <a:srgbClr val="FF731F"/>
    </a:accent3>
    <a:accent4>
      <a:srgbClr val="16CC8A"/>
    </a:accent4>
    <a:accent5>
      <a:srgbClr val="FFC619"/>
    </a:accent5>
    <a:accent6>
      <a:srgbClr val="4E37FF"/>
    </a:accent6>
    <a:hlink>
      <a:srgbClr val="304FFE"/>
    </a:hlink>
    <a:folHlink>
      <a:srgbClr val="492067"/>
    </a:folHlink>
  </a:clrScheme>
  <a:fontScheme name="自定义 2">
    <a:majorFont>
      <a:latin typeface="微软雅黑"/>
      <a:ea typeface="微软雅黑"/>
      <a:cs typeface=""/>
    </a:majorFont>
    <a:minorFont>
      <a:latin typeface="微软雅黑"/>
      <a:ea typeface="微软雅黑"/>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Company>微软中国</Company>
  <Pages>12</Pages>
  <Words>3925</Words>
  <Characters>4213</Characters>
  <Lines>30</Lines>
  <Paragraphs>8</Paragraphs>
  <TotalTime>4</TotalTime>
  <ScaleCrop>false</ScaleCrop>
  <LinksUpToDate>false</LinksUpToDate>
  <CharactersWithSpaces>4219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2024-06-03T02:37:00Z</dcterms:created>
  <dc:creator>dell</dc:creator>
  <cp:lastModifiedBy>李瑞</cp:lastModifiedBy>
  <dcterms:modified xsi:type="dcterms:W3CDTF">2024-06-08T12:24:35Z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60BC7339106041DA91BAB39D0CD3151D_13</vt:lpwstr>
  </property>
</Properties>
</file>