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spacing w:line="570" w:lineRule="atLeast"/>
        <w:ind w:left="2209" w:hanging="2209" w:hangingChars="500"/>
        <w:jc w:val="both"/>
        <w:rPr>
          <w:rFonts w:hint="eastAsia" w:ascii="黑体" w:hAnsi="黑体" w:eastAsia="黑体" w:cs="黑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岳阳市君山区野生荷花世界管理委员会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2024年部门预算公开</w:t>
      </w:r>
    </w:p>
    <w:p>
      <w:pPr>
        <w:jc w:val="center"/>
        <w:rPr>
          <w:rFonts w:hint="eastAsia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both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</w:p>
    <w:p>
      <w:pPr>
        <w:widowControl/>
        <w:spacing w:line="570" w:lineRule="atLeast"/>
        <w:jc w:val="center"/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</w:pPr>
      <w:r>
        <w:rPr>
          <w:rFonts w:hint="eastAsia" w:ascii="Times New Roman" w:hAnsi="Times New Roman" w:eastAsia="黑体" w:cs="Times New Roman"/>
          <w:b/>
          <w:kern w:val="0"/>
          <w:sz w:val="36"/>
          <w:szCs w:val="36"/>
        </w:rPr>
        <w:t>目 录</w:t>
      </w:r>
    </w:p>
    <w:p>
      <w:pPr>
        <w:widowControl/>
        <w:spacing w:line="570" w:lineRule="atLeast"/>
        <w:ind w:firstLine="630" w:firstLineChars="196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第一部分 2024年部门预算说明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一、部门基本概况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二、部门预算单位构成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三、部门收支总体情况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四、一般公共预算拨款支出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五、政府性基金预算支出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六、其他重要事项的情况说明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七、名词解释</w:t>
      </w:r>
    </w:p>
    <w:p>
      <w:pPr>
        <w:ind w:firstLine="643" w:firstLineChars="200"/>
        <w:rPr>
          <w:rFonts w:hint="eastAsia" w:eastAsia="黑体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第二部分 2024年部门预算表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1、收支总表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2、收入总表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3、支出总表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4、支出预算分类汇总表（按政府预算经济分类）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5、支出预算分类汇总表（按部门预算经济分类）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6、财政拨款收支总表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7、一般公共预算支出表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8、一般公共预算基本支出表-人员经费（工资福利支出）（按政府预算经济分类）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9、一般公共预算基本支出表-人员经费（工资福利支出）（按部门预算经济分类）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10、一般公共预算基本支出表-人员经费（对个人和家庭的补助）（按政府预算经济分类）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11、一般公共预算基本支出表-人员经费（对个人和家庭的补助）（按部门预算经济分类）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12、一般公共预算基本支出表-公用经费（商品和服务支出）（按政府预算经济分类）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13、一般公共预算基本支出表-公用经费（商品和服务支出）（按部门预算经济分类）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14、一般公共预算“三公”经费支出表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15、政府性基金预算支出表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16、政府性基金预算支出分类汇总表（按政府预算经济分类）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17、政府性基金预算支出分类汇总表（按部门预算经济分类）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18、国有资本经营预算支出表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19、财政专户管理资金预算支出表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20、专项资金预算汇总表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21、项目支出绩效目标表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22、部门整体支出绩效目标表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23、一般公共预算基本支出表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注：以上部门预算公开报表中，空表表示本部门无相关收支情况。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</w:p>
    <w:p>
      <w:pPr>
        <w:jc w:val="center"/>
        <w:rPr>
          <w:rFonts w:hint="eastAsia" w:ascii="Times New Roman" w:hAnsi="Times New Roman" w:eastAsia="方正小标宋_GBK" w:cs="Times New Roman"/>
          <w:b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kern w:val="0"/>
          <w:sz w:val="36"/>
          <w:szCs w:val="36"/>
        </w:rPr>
        <w:t>第一部分 部门预算公开说明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一、部门基本概况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（一）职能职责</w:t>
      </w:r>
    </w:p>
    <w:p>
      <w:pPr>
        <w:widowControl/>
        <w:spacing w:line="600" w:lineRule="exact"/>
        <w:ind w:firstLine="627" w:firstLineChars="196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单位为君山野生荷花世界建设与管理服务，对野生莲及荷花品种的保护，对其旅游、餐饮、住宿、农产品开发及管理。根据区委、区政府旅游兴区的发展目标，通过加大对旅游的投入，进一步做大做强旅游产业，合理利用旅游资源，打造精品旅游品牌。通过对节会的举办，加大景区的知名度和美誉度，进一步加强旅游的硬件、软件的建设，提高旅游服务质量。扩大旅游接待规模，增加旅游人次，提高游客的满意度，搞好生态旅游，合理利用旅游资源，增加旅游收入，打造名品旅游品牌。</w:t>
      </w:r>
    </w:p>
    <w:p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（二）机构设置</w:t>
      </w:r>
    </w:p>
    <w:p>
      <w:pPr>
        <w:widowControl/>
        <w:spacing w:line="600" w:lineRule="exact"/>
        <w:ind w:firstLine="627" w:firstLineChars="196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根据编</w:t>
      </w:r>
      <w:r>
        <w:rPr>
          <w:rFonts w:hint="eastAsia" w:eastAsia="仿宋_GB2312"/>
          <w:sz w:val="32"/>
          <w:szCs w:val="32"/>
          <w:lang w:eastAsia="zh-CN"/>
        </w:rPr>
        <w:t>办</w:t>
      </w:r>
      <w:r>
        <w:rPr>
          <w:rFonts w:hint="eastAsia" w:eastAsia="仿宋_GB2312"/>
          <w:sz w:val="32"/>
          <w:szCs w:val="32"/>
        </w:rPr>
        <w:t>核定，我景区属差额事业单位，景区设科室6个。</w:t>
      </w:r>
    </w:p>
    <w:p>
      <w:pPr>
        <w:widowControl/>
        <w:spacing w:line="600" w:lineRule="exact"/>
        <w:ind w:firstLine="627" w:firstLineChars="196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内设科室分别是：办公室、信访科、人事科、财务科、园林绿化科、环卫科。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二、部门预算单位构成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bookmarkStart w:id="0" w:name="DEPT_COMPOSE"/>
      <w:r>
        <w:rPr>
          <w:rFonts w:hint="eastAsia" w:eastAsia="仿宋_GB2312"/>
          <w:sz w:val="32"/>
          <w:szCs w:val="32"/>
          <w:lang w:eastAsia="zh-CN"/>
        </w:rPr>
        <w:t>岳阳市君山区野生荷花世界管理委员会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部门只有本级，没有其他二级预算单位，因此，纳入2024年部门预算编制范围的只有</w:t>
      </w:r>
      <w:r>
        <w:rPr>
          <w:rFonts w:hint="eastAsia" w:eastAsia="仿宋_GB2312"/>
          <w:sz w:val="32"/>
          <w:szCs w:val="32"/>
          <w:lang w:eastAsia="zh-CN"/>
        </w:rPr>
        <w:t>岳阳市君山区野生荷花世界管理委员会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本级。</w:t>
      </w:r>
      <w:bookmarkEnd w:id="0"/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部门收支总体情况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本部门2024年没有政府性基金预算拨款、国有资本经营预算收入和纳入专户管理的非税收入拨款收入，也没有使用政府性基金预算拨款、国有资本经营预算收入和纳入专户管理的非税收入拨款安排的支出，所以公开的附件15、16、17、18、19表均为空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收入预算：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包括一般公共预算、政府性基金、国有资本经营预算等财政拨款收入，以及经营收入、事业收入等单位资金。2024年本部门收入预算101.84万元，其中，一般公共预算拨款101.84万元，政府性基金预算资金0.00万元(所以公开的附件15-17表为空)，国有资本经营预算资金0.00万元(所以公开的附件18表为空)，财政专户管理资金0.00万元(所以公开的附件19表为空)，上级补助收入资金0.00万元，事业单位经营收入资金0.00万元，上年结转结余0.00万元。收入较上年减少5.86万元，下降5.44%。主要原因是厉行节约，压缩了一般性支出和业务工作经费支出预算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Chars="200" w:right="0" w:rightChars="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drawing>
          <wp:inline distT="0" distB="0" distL="114300" distR="114300">
            <wp:extent cx="4826000" cy="2743200"/>
            <wp:effectExtent l="4445" t="4445" r="8255" b="52705"/>
            <wp:docPr id="8" name="图表 7" descr="7b0a202020202263686172745265734964223a20223230343736303933220a7d0a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支出预算：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部门支出预算101.84万元，其中：社会保障和就业支出9.24万元，卫生健康支出0.34万元，节能环保支出46万元，文化旅游体育与传媒支出46.26万元。支出较上年减少5.86万元，下降5.44%。主要原因是厉行节约，压缩了一般性支出和业务工作经费支出预算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 w:rightChars="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4596765" cy="3001010"/>
            <wp:effectExtent l="4445" t="4445" r="8890" b="23495"/>
            <wp:docPr id="2" name="图表 1" descr="7b0a202020202263686172745265734964223a20223230343735353931220a7d0a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四、一般公共预算拨款支出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2024年本部门一般公共预算拨款支出101.84万元，其中：社会保障和就业支出9.26万元，占9.08%；卫生健康支出0.34万元，占0.33%；节能环保支出46万元，占45.17%</w:t>
      </w:r>
      <w:r>
        <w:rPr>
          <w:rFonts w:hint="eastAsia" w:ascii="仿宋_GB2312" w:hAnsi="仿宋_GB2312" w:eastAsia="仿宋_GB2312" w:cs="仿宋_GB2312"/>
          <w:color w:val="000000"/>
          <w:kern w:val="2"/>
          <w:sz w:val="36"/>
          <w:szCs w:val="36"/>
          <w:shd w:val="clear" w:color="auto" w:fill="FFFFFF"/>
          <w:lang w:val="en-US" w:eastAsia="zh-CN" w:bidi="ar-SA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文化旅游体育与传媒支出46.26万元，占45.42%。具体安排情况如下：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（一）基本支出：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2024年本部门基本支出预算数55.84万元，主要是为保障部门正常运转、完成日常工作任务而发生的各项支出，包括用于基本工资、津贴补贴等人员经费以及办公费、印刷费、水电费、办公设备购置等公用经费。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（二）项目支出：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2024年本部门项目支出预算46万元，主要是本单位为完成特定工作任务或事业发展目标而发生的支出，包括有关事业发展专项、专项业务费、基本建设支出等，其中：节能环保支出46万元，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主要用于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旅游区水环境治理、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完成特定行政工作任务或事业发展目标而发生的支出等方面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五、政府性基金预算支出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2024年度本部门无政府性基金安排的支出，所以公开的附件15-17表（政府性基金预算）为空。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（一）机关运行经费：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</w:t>
      </w:r>
      <w:r>
        <w:rPr>
          <w:rFonts w:hint="eastAsia" w:eastAsia="仿宋_GB2312"/>
          <w:sz w:val="32"/>
          <w:szCs w:val="32"/>
          <w:lang w:eastAsia="zh-CN"/>
        </w:rPr>
        <w:t>岳阳市君山区野生荷花世界管理委员会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运行经费0万元，与上年预算持平，主要原因</w:t>
      </w:r>
      <w:r>
        <w:rPr>
          <w:rFonts w:eastAsia="仿宋_GB2312"/>
          <w:sz w:val="32"/>
          <w:szCs w:val="32"/>
        </w:rPr>
        <w:t>本</w:t>
      </w:r>
      <w:r>
        <w:rPr>
          <w:rFonts w:hint="eastAsia" w:eastAsia="仿宋_GB2312"/>
          <w:sz w:val="32"/>
          <w:szCs w:val="32"/>
          <w:lang w:eastAsia="zh-CN"/>
        </w:rPr>
        <w:t>单位为差额事业编制单位没有安排</w:t>
      </w:r>
      <w:r>
        <w:rPr>
          <w:rFonts w:eastAsia="仿宋_GB2312"/>
          <w:sz w:val="32"/>
          <w:szCs w:val="32"/>
        </w:rPr>
        <w:t>机关运行经费</w:t>
      </w:r>
      <w:r>
        <w:rPr>
          <w:rFonts w:hint="eastAsia" w:eastAsia="仿宋_GB2312"/>
          <w:sz w:val="32"/>
          <w:szCs w:val="32"/>
          <w:lang w:eastAsia="zh-CN"/>
        </w:rPr>
        <w:t>预算</w:t>
      </w:r>
      <w:r>
        <w:rPr>
          <w:rFonts w:eastAsia="仿宋_GB2312"/>
          <w:sz w:val="32"/>
          <w:szCs w:val="32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（二）“三公”经费预算：</w:t>
      </w:r>
      <w:r>
        <w:rPr>
          <w:rFonts w:hint="eastAsia"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  <w:t>2024年本部门“三公”经费预算数为0万元，其中，公务接待费0万元，公务用车购置及运行费0万元（其中，公务用车购置费0万元，公务用车运行费0万元），因公出国（境）费0万元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  <w:t>2024年“三公”经费预算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与</w:t>
      </w:r>
      <w:r>
        <w:rPr>
          <w:rFonts w:hint="eastAsia"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  <w:t>2023年持平</w:t>
      </w:r>
      <w:r>
        <w:rPr>
          <w:rFonts w:hint="eastAsia" w:eastAsia="仿宋_GB2312" w:cstheme="minorBidi"/>
          <w:kern w:val="2"/>
          <w:sz w:val="32"/>
          <w:szCs w:val="32"/>
          <w:lang w:val="en-US" w:eastAsia="zh-CN" w:bidi="ar-SA"/>
        </w:rPr>
        <w:t>，主要原因</w:t>
      </w:r>
      <w:r>
        <w:rPr>
          <w:rFonts w:eastAsia="仿宋_GB2312"/>
          <w:sz w:val="32"/>
          <w:szCs w:val="32"/>
        </w:rPr>
        <w:t>本</w:t>
      </w:r>
      <w:r>
        <w:rPr>
          <w:rFonts w:hint="eastAsia" w:eastAsia="仿宋_GB2312"/>
          <w:sz w:val="32"/>
          <w:szCs w:val="32"/>
          <w:lang w:eastAsia="zh-CN"/>
        </w:rPr>
        <w:t>单位为差额事业编制单位没有安排“三公”</w:t>
      </w:r>
      <w:r>
        <w:rPr>
          <w:rFonts w:eastAsia="仿宋_GB2312"/>
          <w:sz w:val="32"/>
          <w:szCs w:val="32"/>
        </w:rPr>
        <w:t>经费</w:t>
      </w:r>
      <w:r>
        <w:rPr>
          <w:rFonts w:hint="eastAsia" w:eastAsia="仿宋_GB2312"/>
          <w:sz w:val="32"/>
          <w:szCs w:val="32"/>
          <w:lang w:eastAsia="zh-CN"/>
        </w:rPr>
        <w:t>预算</w:t>
      </w:r>
      <w:r>
        <w:rPr>
          <w:rFonts w:hint="eastAsia"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  <w:t>。</w:t>
      </w:r>
      <w:bookmarkStart w:id="1" w:name="END_IS_ZERO_06_1"/>
      <w:bookmarkEnd w:id="1"/>
      <w:bookmarkStart w:id="2" w:name="START_IS_ZERO_06_2"/>
      <w:bookmarkEnd w:id="2"/>
      <w:bookmarkStart w:id="3" w:name="DIS_MARK_IS_ZERO_06_2"/>
      <w:bookmarkEnd w:id="3"/>
      <w:bookmarkStart w:id="4" w:name="END_IS_ZERO_06_2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（三）一般性支出情况：</w:t>
      </w:r>
      <w:r>
        <w:rPr>
          <w:rFonts w:hint="eastAsia"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  <w:t>2024年本部门会议费预算0万元，拟召开0次会议，人数0人；培训费预算0万元，拟开展0次培训，人数0人；未计划举办节庆、晚会、论坛、赛事活动，经费预算0万元。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（四）政府采购情况：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2024年本部门政府采购预算总额18万元，其中，货物类采购预算0万元；工程类采购预算0万元；服务类采购预算18万元。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（五）国有资产占用使用及新增资产配置情况：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截至2023年12月底，本部门共有公务用车0辆，其中，机要通信用车0辆，应急保障用车0辆，执法执勤用车0辆，特种专业技术用车0辆，其他按照规定配备的公务用车0辆；单位价值50万元以上设备0台，其中，单位价值100万元以上设备0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拟新增配置公务用车0辆，其中，机要通信用车0辆，应急保障用车0辆，执法执勤用车0辆，特种专业技术用车0辆，其他按照规定配备的公务用车0辆；新增配备单位价值50万元以上设备0台，其中，单位价值100万元以上设备0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（六）预算绩效目标说明：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本部门所有支出实行绩效目标管理。纳入2024年部门整体支出绩效目标的金额为101.84万元，其中，基本支出55.84万元，项目支出46万元，具体绩效目标详见文尾附表中部门预算公开表格的表21-22。</w:t>
      </w:r>
    </w:p>
    <w:p>
      <w:pPr>
        <w:widowControl/>
        <w:spacing w:line="570" w:lineRule="atLeast"/>
        <w:ind w:firstLine="643" w:firstLineChars="200"/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kern w:val="0"/>
          <w:sz w:val="32"/>
          <w:szCs w:val="32"/>
        </w:rPr>
        <w:t>七、名词解释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1．机关运行经费：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3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2．“三公”经费：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  <w:bookmarkStart w:id="5" w:name="_GoBack"/>
      <w:bookmarkEnd w:id="5"/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/>
          <w:bCs/>
          <w:kern w:val="0"/>
          <w:sz w:val="36"/>
          <w:szCs w:val="36"/>
        </w:rPr>
        <w:t>第二部分  2024年部门预算公开表格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1、收支总表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2、收入总表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3、支出总表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4、支出预算分类汇总表（按政府预算经济分类）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5、支出预算分类汇总表（按部门预算经济分类）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6、财政拨款收支总表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7、一般公共预算支出表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8、一般公共预算基本支出表-人员经费（工资福利支出）（按政府预算经济分类）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9、一般公共预算基本支出表-人员经费（工资福利支出）（按部门预算经济分类）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10、一般公共预算基本支出表-人员经费（对个人和家庭的补助）（按政府预算经济分类）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11、一般公共预算基本支出表-人员经费（对个人和家庭的补助）（按部门预算经济分类）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12、一般公共预算基本支出表-公用经费（商品和服务支出）（按政府预算经济分类）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13、一般公共预算基本支出表-公用经费（商品和服务支出）（按部门预算经济分类）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14、一般公共预算“三公”经费支出表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15、政府性基金预算支出表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16、政府性基金预算支出分类汇总表（按政府预算经济分类）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17、政府性基金预算支出分类汇总表（按部门预算经济分类）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18、国有资本经营预算支出表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19、财政专户管理资金预算支出表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20、专项资金预算汇总表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21、项目支出绩效目标表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22、部门整体支出绩效目标表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23、一般公共预算基本支出表</w:t>
      </w:r>
    </w:p>
    <w:p>
      <w:pPr>
        <w:spacing w:line="57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注：以上部门预算公开报表中，空表表示本部门无相关收支情况。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left="0" w:right="0" w:firstLine="640" w:firstLineChars="20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" w:lineRule="atLeast"/>
        <w:ind w:right="0"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附件：岳阳市君山区野生荷花世界管理委员会2024年部门预算公开表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038EA"/>
    <w:multiLevelType w:val="singleLevel"/>
    <w:tmpl w:val="511038E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OWI1YTBjMDVmMmNiM2E1MjU2ZTkzMDY0OTdlNjQifQ=="/>
  </w:docVars>
  <w:rsids>
    <w:rsidRoot w:val="637274E6"/>
    <w:rsid w:val="00857C69"/>
    <w:rsid w:val="02412BCB"/>
    <w:rsid w:val="02FA7BB8"/>
    <w:rsid w:val="03631DE8"/>
    <w:rsid w:val="05DE428D"/>
    <w:rsid w:val="05ED25F6"/>
    <w:rsid w:val="079242AE"/>
    <w:rsid w:val="085D0C84"/>
    <w:rsid w:val="0992531D"/>
    <w:rsid w:val="0A0D382D"/>
    <w:rsid w:val="0B0E3992"/>
    <w:rsid w:val="0D2835D5"/>
    <w:rsid w:val="0ED939EE"/>
    <w:rsid w:val="0EDD3A99"/>
    <w:rsid w:val="13385187"/>
    <w:rsid w:val="144178C3"/>
    <w:rsid w:val="1615603D"/>
    <w:rsid w:val="16175143"/>
    <w:rsid w:val="167C1082"/>
    <w:rsid w:val="168E55F8"/>
    <w:rsid w:val="16B94831"/>
    <w:rsid w:val="18844C6D"/>
    <w:rsid w:val="1C591153"/>
    <w:rsid w:val="1C744CBF"/>
    <w:rsid w:val="1CD25B13"/>
    <w:rsid w:val="1D6E31FC"/>
    <w:rsid w:val="1D85581C"/>
    <w:rsid w:val="1FD800E8"/>
    <w:rsid w:val="200307FA"/>
    <w:rsid w:val="20A420AE"/>
    <w:rsid w:val="22DF4F83"/>
    <w:rsid w:val="230C7214"/>
    <w:rsid w:val="24302B07"/>
    <w:rsid w:val="243D1BD3"/>
    <w:rsid w:val="256B3D61"/>
    <w:rsid w:val="264178B0"/>
    <w:rsid w:val="26962633"/>
    <w:rsid w:val="26E130FE"/>
    <w:rsid w:val="29C372D4"/>
    <w:rsid w:val="29EC6874"/>
    <w:rsid w:val="2A351017"/>
    <w:rsid w:val="2BE30FD2"/>
    <w:rsid w:val="2D6329A9"/>
    <w:rsid w:val="2DA53533"/>
    <w:rsid w:val="305B1762"/>
    <w:rsid w:val="305C2E10"/>
    <w:rsid w:val="3085088F"/>
    <w:rsid w:val="31A800DF"/>
    <w:rsid w:val="324A2389"/>
    <w:rsid w:val="32865768"/>
    <w:rsid w:val="328F1D91"/>
    <w:rsid w:val="32C66482"/>
    <w:rsid w:val="34521626"/>
    <w:rsid w:val="35683252"/>
    <w:rsid w:val="36BE748E"/>
    <w:rsid w:val="36CB7059"/>
    <w:rsid w:val="38E3475C"/>
    <w:rsid w:val="3951638D"/>
    <w:rsid w:val="39A14F85"/>
    <w:rsid w:val="3A242018"/>
    <w:rsid w:val="43666CD0"/>
    <w:rsid w:val="44E16B7D"/>
    <w:rsid w:val="472973EE"/>
    <w:rsid w:val="477C3FDA"/>
    <w:rsid w:val="47E411CF"/>
    <w:rsid w:val="47F15FD3"/>
    <w:rsid w:val="490966A2"/>
    <w:rsid w:val="496F41C2"/>
    <w:rsid w:val="4AD36F68"/>
    <w:rsid w:val="4B5D43D7"/>
    <w:rsid w:val="4BC03402"/>
    <w:rsid w:val="4DBF1A26"/>
    <w:rsid w:val="4E4803A1"/>
    <w:rsid w:val="4EC2028E"/>
    <w:rsid w:val="4EE728E7"/>
    <w:rsid w:val="50447689"/>
    <w:rsid w:val="51B004D2"/>
    <w:rsid w:val="52A91D7A"/>
    <w:rsid w:val="54A70CC5"/>
    <w:rsid w:val="56301712"/>
    <w:rsid w:val="5681523A"/>
    <w:rsid w:val="576A0C54"/>
    <w:rsid w:val="5A1535D7"/>
    <w:rsid w:val="5A380B96"/>
    <w:rsid w:val="5CB9546A"/>
    <w:rsid w:val="5D7F32CE"/>
    <w:rsid w:val="5F3F29C6"/>
    <w:rsid w:val="60884CBD"/>
    <w:rsid w:val="60B230E1"/>
    <w:rsid w:val="636D1293"/>
    <w:rsid w:val="637274E6"/>
    <w:rsid w:val="63894210"/>
    <w:rsid w:val="662F72F1"/>
    <w:rsid w:val="66B263EF"/>
    <w:rsid w:val="69175946"/>
    <w:rsid w:val="69F35F40"/>
    <w:rsid w:val="6B49147A"/>
    <w:rsid w:val="6C0749A4"/>
    <w:rsid w:val="6C1B6290"/>
    <w:rsid w:val="6C5E2742"/>
    <w:rsid w:val="6CB542C8"/>
    <w:rsid w:val="6CC62031"/>
    <w:rsid w:val="7076663E"/>
    <w:rsid w:val="70AE175A"/>
    <w:rsid w:val="70F92319"/>
    <w:rsid w:val="728C4B01"/>
    <w:rsid w:val="729A1F96"/>
    <w:rsid w:val="739C7F8F"/>
    <w:rsid w:val="73BE1EBD"/>
    <w:rsid w:val="74232EF6"/>
    <w:rsid w:val="748B04A5"/>
    <w:rsid w:val="74D47E83"/>
    <w:rsid w:val="753F0C2D"/>
    <w:rsid w:val="767174B1"/>
    <w:rsid w:val="77DE623F"/>
    <w:rsid w:val="78CC0C1A"/>
    <w:rsid w:val="791A5BDE"/>
    <w:rsid w:val="7B8C5953"/>
    <w:rsid w:val="7C9338B5"/>
    <w:rsid w:val="7E727695"/>
    <w:rsid w:val="7EBE525E"/>
    <w:rsid w:val="7F6D60FB"/>
    <w:rsid w:val="7F78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oleObject" Target="file:///C:\Users\Administrator\Desktop\&#25910;&#20837;&#39044;&#31639;&#22270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25910;&#20837;&#39044;&#31639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0" vertOverflow="ellipsis" vert="horz" wrap="square" anchor="ctr" anchorCtr="1" forceAA="0"/>
          <a:lstStyle/>
          <a:p>
            <a:pPr>
              <a:defRPr lang="zh-CN"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t>收入预算图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view3D>
      <c:rotX val="25"/>
      <c:rotY val="0"/>
      <c:depthPercent val="100"/>
      <c:rAngAx val="0"/>
      <c:perspective val="2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spPr>
            <a:ln w="15875" cmpd="sng">
              <a:solidFill>
                <a:schemeClr val="bg1"/>
              </a:solidFill>
              <a:prstDash val="solid"/>
            </a:ln>
            <a:effectLst/>
            <a:scene3d>
              <a:camera prst="orthographicFront"/>
              <a:lightRig rig="threePt" dir="t"/>
            </a:scene3d>
            <a:sp3d contourW="15875" prstMaterial="flat"/>
          </c:spPr>
          <c:explosion val="0"/>
          <c:dPt>
            <c:idx val="0"/>
            <c:bubble3D val="0"/>
            <c:spPr>
              <a:gradFill>
                <a:gsLst>
                  <a:gs pos="0">
                    <a:schemeClr val="accent1">
                      <a:lumMod val="60000"/>
                      <a:lumOff val="40000"/>
                    </a:schemeClr>
                  </a:gs>
                  <a:gs pos="70000">
                    <a:schemeClr val="accent1"/>
                  </a:gs>
                </a:gsLst>
                <a:lin ang="13500000" scaled="0"/>
              </a:gradFill>
              <a:ln w="15875" cmpd="sng">
                <a:solidFill>
                  <a:schemeClr val="accent1">
                    <a:lumMod val="75000"/>
                  </a:schemeClr>
                </a:solidFill>
                <a:prstDash val="solid"/>
              </a:ln>
              <a:effectLst/>
              <a:scene3d>
                <a:camera prst="orthographicFront"/>
                <a:lightRig rig="threePt" dir="t"/>
              </a:scene3d>
              <a:sp3d contourW="15875" prstMaterial="flat"/>
            </c:spPr>
          </c:dPt>
          <c:dLbls>
            <c:dLbl>
              <c:idx val="0"/>
              <c:layout/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 forceAA="0"/>
                <a:lstStyle/>
                <a:p>
                  <a:pPr>
                    <a:defRPr lang="zh-CN" sz="900" b="0" i="0" u="none" strike="noStrike" kern="1200" baseline="0">
                      <a:solidFill>
                        <a:schemeClr val="bg1"/>
                      </a:solidFill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inEnd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 forceAA="0"/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latin typeface="+mn-lt"/>
                    <a:ea typeface="+mn-ea"/>
                    <a:cs typeface="+mn-cs"/>
                  </a:defRPr>
                </a:pPr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extLst>
                <c:ext xmlns:c15="http://schemas.microsoft.com/office/drawing/2012/chart" uri="{02D57815-91ED-43cb-92C2-25804820EDAC}">
                  <c15:fullRef>
                    <c15:sqref>[收入预算图.xlsx]Sheet1!$B$31:$B$32</c15:sqref>
                  </c15:fullRef>
                </c:ext>
              </c:extLst>
              <c:f>[收入预算图.xlsx]Sheet1!$B$31</c:f>
              <c:strCache>
                <c:ptCount val="1"/>
                <c:pt idx="0">
                  <c:v>一般公共预算拨款收入</c:v>
                </c:pt>
              </c:strCache>
            </c:strRef>
          </c:cat>
          <c:val>
            <c:numRef>
              <c:extLst>
                <c:ext xmlns:c15="http://schemas.microsoft.com/office/drawing/2012/chart" uri="{02D57815-91ED-43cb-92C2-25804820EDAC}">
                  <c15:fullRef>
                    <c15:sqref>Sheet1!$C$31:$C$32</c15:sqref>
                  </c15:fullRef>
                </c:ext>
              </c:extLst>
              <c:f>[收入预算图.xlsx]Sheet1!$C$31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 forceAA="0"/>
        <a:lstStyle/>
        <a:p>
          <a:pPr>
            <a:defRPr lang="zh-CN"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85000"/>
        </a:schemeClr>
      </a:solidFill>
      <a:prstDash val="solid"/>
      <a:round/>
    </a:ln>
    <a:effectLst>
      <a:outerShdw blurRad="63500" dist="37357" dir="2700000" sx="0" sy="0" rotWithShape="0">
        <a:scrgbClr r="0" g="0" b="0"/>
      </a:outerShdw>
    </a:effectLst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支出预算图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0867440254178754"/>
          <c:y val="0.302044011849344"/>
          <c:w val="0.826511949164249"/>
          <c:h val="0.612797291578502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9525"/>
          </c:spPr>
          <c:explosion val="0"/>
          <c:dPt>
            <c:idx val="0"/>
            <c:bubble3D val="0"/>
            <c:spPr>
              <a:gradFill>
                <a:gsLst>
                  <a:gs pos="100000">
                    <a:schemeClr val="accent1"/>
                  </a:gs>
                  <a:gs pos="0">
                    <a:schemeClr val="accent1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1">
                        <a:lumMod val="75000"/>
                      </a:schemeClr>
                    </a:gs>
                    <a:gs pos="0">
                      <a:schemeClr val="accent1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1"/>
            <c:bubble3D val="0"/>
            <c:spPr>
              <a:gradFill>
                <a:gsLst>
                  <a:gs pos="100000">
                    <a:schemeClr val="accent2"/>
                  </a:gs>
                  <a:gs pos="0">
                    <a:schemeClr val="accent2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2">
                        <a:lumMod val="75000"/>
                      </a:schemeClr>
                    </a:gs>
                    <a:gs pos="0">
                      <a:schemeClr val="accent2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2"/>
            <c:bubble3D val="0"/>
            <c:spPr>
              <a:gradFill>
                <a:gsLst>
                  <a:gs pos="100000">
                    <a:schemeClr val="accent3"/>
                  </a:gs>
                  <a:gs pos="0">
                    <a:schemeClr val="accent3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3">
                        <a:lumMod val="75000"/>
                      </a:schemeClr>
                    </a:gs>
                    <a:gs pos="0">
                      <a:schemeClr val="accent3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Pt>
            <c:idx val="3"/>
            <c:bubble3D val="0"/>
            <c:spPr>
              <a:gradFill>
                <a:gsLst>
                  <a:gs pos="100000">
                    <a:schemeClr val="accent4"/>
                  </a:gs>
                  <a:gs pos="0">
                    <a:schemeClr val="accent4">
                      <a:hueOff val="-1670000"/>
                    </a:schemeClr>
                  </a:gs>
                </a:gsLst>
                <a:lin ang="5400000" scaled="0"/>
              </a:gradFill>
              <a:ln>
                <a:gradFill>
                  <a:gsLst>
                    <a:gs pos="100000">
                      <a:schemeClr val="accent4">
                        <a:lumMod val="75000"/>
                      </a:schemeClr>
                    </a:gs>
                    <a:gs pos="0">
                      <a:schemeClr val="accent4">
                        <a:lumMod val="75000"/>
                        <a:hueOff val="-1670000"/>
                      </a:schemeClr>
                    </a:gs>
                  </a:gsLst>
                  <a:lin ang="4620000" scaled="0"/>
                </a:gradFill>
              </a:ln>
              <a:effectLst/>
            </c:spPr>
          </c:dPt>
          <c:dLbls>
            <c:dLbl>
              <c:idx val="0"/>
              <c:layout>
                <c:manualLayout>
                  <c:x val="-0.04247704510012"/>
                  <c:y val="-0.0260843754663788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121836119124768"/>
                  <c:y val="0.0356008671323811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130597809552784"/>
                  <c:y val="-0.0692934782608696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240660118818549"/>
                  <c:y val="0.0108389392220462"/>
                </c:manualLayout>
              </c:layout>
              <c:numFmt formatCode="0.00%" sourceLinked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65000"/>
                      <a:lumOff val="35000"/>
                    </a:sysClr>
                  </a:solidFill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00" b="0" i="0" u="none" strike="noStrike" kern="1200" baseline="0">
                      <a:solidFill>
                        <a:schemeClr val="dk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.00%" sourceLinked="0"/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65000"/>
                    <a:lumOff val="35000"/>
                  </a:sysClr>
                </a:solidFill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eparator> </c:separator>
            <c:showLeaderLines val="1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[收入预算图.xlsx]Sheet1!$B$2:$B$5</c:f>
              <c:strCache>
                <c:ptCount val="4"/>
                <c:pt idx="0">
                  <c:v>社会保障和就业支出</c:v>
                </c:pt>
                <c:pt idx="1">
                  <c:v>卫生健康支出</c:v>
                </c:pt>
                <c:pt idx="2">
                  <c:v>节能环保支出</c:v>
                </c:pt>
                <c:pt idx="3">
                  <c:v>文化旅游体育与传媒支出</c:v>
                </c:pt>
              </c:strCache>
            </c:strRef>
          </c:cat>
          <c:val>
            <c:numRef>
              <c:f>[收入预算图.xlsx]Sheet1!$C$2:$C$5</c:f>
              <c:numCache>
                <c:formatCode>0.00%</c:formatCode>
                <c:ptCount val="4"/>
                <c:pt idx="0">
                  <c:v>0.0908</c:v>
                </c:pt>
                <c:pt idx="1">
                  <c:v>0.0033</c:v>
                </c:pt>
                <c:pt idx="2">
                  <c:v>0.4517</c:v>
                </c:pt>
                <c:pt idx="3">
                  <c:v>0.4542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</c:dLbls>
      </c:pie3DChart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lt1">
        <a:lumMod val="96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97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lt1">
          <a:lumMod val="96000"/>
        </a:schemeClr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100000">
            <a:schemeClr val="phClr"/>
          </a:gs>
          <a:gs pos="0">
            <a:schemeClr val="phClr">
              <a:hueOff val="-1670000"/>
            </a:schemeClr>
          </a:gs>
        </a:gsLst>
        <a:lin ang="5400000" scaled="0"/>
      </a:gradFill>
      <a:ln>
        <a:gradFill>
          <a:gsLst>
            <a:gs pos="100000">
              <a:schemeClr val="phClr">
                <a:lumMod val="75000"/>
              </a:schemeClr>
            </a:gs>
            <a:gs pos="0">
              <a:schemeClr val="phClr">
                <a:lumMod val="75000"/>
                <a:hueOff val="-1670000"/>
              </a:schemeClr>
            </a:gs>
          </a:gsLst>
          <a:lin ang="4620000" scaled="0"/>
        </a:gradFill>
      </a:ln>
      <a:effectLst/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noFill/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75000"/>
            <a:lumOff val="25000"/>
          </a:schemeClr>
        </a:solidFill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dk1">
            <a:lumMod val="35000"/>
            <a:lumOff val="65000"/>
          </a:schemeClr>
        </a:solidFill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自定义 6">
    <a:dk1>
      <a:srgbClr val="000000"/>
    </a:dk1>
    <a:lt1>
      <a:srgbClr val="FFFFFF"/>
    </a:lt1>
    <a:dk2>
      <a:srgbClr val="0C0E1F"/>
    </a:dk2>
    <a:lt2>
      <a:srgbClr val="FEFFFF"/>
    </a:lt2>
    <a:accent1>
      <a:srgbClr val="54C9FA"/>
    </a:accent1>
    <a:accent2>
      <a:srgbClr val="6C92FD"/>
    </a:accent2>
    <a:accent3>
      <a:srgbClr val="FF731F"/>
    </a:accent3>
    <a:accent4>
      <a:srgbClr val="16CC8A"/>
    </a:accent4>
    <a:accent5>
      <a:srgbClr val="FFC619"/>
    </a:accent5>
    <a:accent6>
      <a:srgbClr val="4E37FF"/>
    </a:accent6>
    <a:hlink>
      <a:srgbClr val="304FFE"/>
    </a:hlink>
    <a:folHlink>
      <a:srgbClr val="492067"/>
    </a:folHlink>
  </a:clrScheme>
  <a:fontScheme name="自定义 2">
    <a:majorFont>
      <a:latin typeface="微软雅黑"/>
      <a:ea typeface="微软雅黑"/>
      <a:cs typeface=""/>
    </a:majorFont>
    <a:minorFont>
      <a:latin typeface="微软雅黑"/>
      <a:ea typeface="微软雅黑"/>
      <a:cs typeface="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3410</Words>
  <Characters>3645</Characters>
  <Lines>0</Lines>
  <Paragraphs>0</Paragraphs>
  <TotalTime>3</TotalTime>
  <ScaleCrop>false</ScaleCrop>
  <LinksUpToDate>false</LinksUpToDate>
  <CharactersWithSpaces>3657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2024-05-22T14:39:00Z</dcterms:created>
  <dc:creator>dell</dc:creator>
  <cp:lastModifiedBy>李瑞</cp:lastModifiedBy>
  <dcterms:modified xsi:type="dcterms:W3CDTF">2024-06-08T12:19:16Z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AA6161384DF4417F82CE6AEF8ABCBB2E_11</vt:lpwstr>
  </property>
</Properties>
</file>