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黑体" w:eastAsia="方正小标宋简体"/>
          <w:sz w:val="30"/>
          <w:szCs w:val="30"/>
        </w:rPr>
      </w:pPr>
      <w:r>
        <w:rPr>
          <w:rFonts w:hint="eastAsia" w:ascii="方正小标宋简体" w:hAnsi="黑体" w:eastAsia="方正小标宋简体"/>
          <w:sz w:val="30"/>
          <w:szCs w:val="30"/>
        </w:rPr>
        <w:t>JSDR-2018-08001</w:t>
      </w:r>
    </w:p>
    <w:p>
      <w:pPr>
        <w:rPr>
          <w:rFonts w:ascii="方正小标宋简体" w:hAnsi="黑体" w:eastAsia="方正小标宋简体"/>
          <w:sz w:val="32"/>
          <w:szCs w:val="32"/>
        </w:rPr>
      </w:pPr>
    </w:p>
    <w:tbl>
      <w:tblPr>
        <w:tblStyle w:val="6"/>
        <w:tblW w:w="9073" w:type="dxa"/>
        <w:tblInd w:w="-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46"/>
        <w:gridCol w:w="21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6946" w:type="dxa"/>
          </w:tcPr>
          <w:p>
            <w:pPr>
              <w:spacing w:line="1200" w:lineRule="exact"/>
              <w:jc w:val="distribute"/>
              <w:rPr>
                <w:rFonts w:ascii="方正小标宋简体" w:hAnsi="黑体" w:eastAsia="方正小标宋简体"/>
                <w:color w:val="FF0000"/>
                <w:w w:val="75"/>
                <w:sz w:val="84"/>
                <w:szCs w:val="84"/>
              </w:rPr>
            </w:pPr>
            <w:r>
              <w:rPr>
                <w:rFonts w:hint="eastAsia" w:ascii="方正小标宋简体" w:hAnsi="黑体" w:eastAsia="方正小标宋简体"/>
                <w:color w:val="FF0000"/>
                <w:w w:val="75"/>
                <w:sz w:val="84"/>
                <w:szCs w:val="84"/>
              </w:rPr>
              <w:t>君山区财政局</w:t>
            </w:r>
          </w:p>
        </w:tc>
        <w:tc>
          <w:tcPr>
            <w:tcW w:w="2127" w:type="dxa"/>
            <w:vMerge w:val="restart"/>
            <w:vAlign w:val="center"/>
          </w:tcPr>
          <w:p>
            <w:pPr>
              <w:jc w:val="center"/>
              <w:rPr>
                <w:rFonts w:ascii="方正小标宋简体" w:hAnsi="黑体" w:eastAsia="方正小标宋简体"/>
                <w:color w:val="FF0000"/>
                <w:w w:val="75"/>
                <w:sz w:val="110"/>
                <w:szCs w:val="110"/>
              </w:rPr>
            </w:pPr>
            <w:r>
              <w:rPr>
                <w:rFonts w:hint="eastAsia" w:ascii="方正小标宋简体" w:hAnsi="黑体" w:eastAsia="方正小标宋简体"/>
                <w:color w:val="FF0000"/>
                <w:w w:val="75"/>
                <w:sz w:val="110"/>
                <w:szCs w:val="110"/>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6946" w:type="dxa"/>
          </w:tcPr>
          <w:p>
            <w:pPr>
              <w:spacing w:line="1200" w:lineRule="exact"/>
              <w:jc w:val="distribute"/>
              <w:rPr>
                <w:rFonts w:ascii="方正小标宋简体" w:hAnsi="黑体" w:eastAsia="方正小标宋简体"/>
                <w:color w:val="FF0000"/>
                <w:w w:val="75"/>
                <w:sz w:val="84"/>
                <w:szCs w:val="84"/>
              </w:rPr>
            </w:pPr>
            <w:r>
              <w:rPr>
                <w:rFonts w:hint="eastAsia" w:ascii="方正小标宋简体" w:hAnsi="黑体" w:eastAsia="方正小标宋简体"/>
                <w:color w:val="FF0000"/>
                <w:w w:val="75"/>
                <w:sz w:val="84"/>
                <w:szCs w:val="84"/>
              </w:rPr>
              <w:t>君山区审计局</w:t>
            </w:r>
          </w:p>
        </w:tc>
        <w:tc>
          <w:tcPr>
            <w:tcW w:w="2127" w:type="dxa"/>
            <w:vMerge w:val="continue"/>
          </w:tcPr>
          <w:p>
            <w:pPr>
              <w:rPr>
                <w:rFonts w:ascii="方正小标宋简体" w:hAnsi="黑体" w:eastAsia="方正小标宋简体"/>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6946" w:type="dxa"/>
          </w:tcPr>
          <w:p>
            <w:pPr>
              <w:spacing w:line="1200" w:lineRule="exact"/>
              <w:jc w:val="distribute"/>
              <w:rPr>
                <w:rFonts w:ascii="方正小标宋简体" w:hAnsi="黑体" w:eastAsia="方正小标宋简体"/>
                <w:color w:val="FF0000"/>
                <w:w w:val="60"/>
                <w:sz w:val="84"/>
                <w:szCs w:val="84"/>
              </w:rPr>
            </w:pPr>
            <w:r>
              <w:rPr>
                <w:rFonts w:hint="eastAsia" w:ascii="方正小标宋简体" w:hAnsi="黑体" w:eastAsia="方正小标宋简体"/>
                <w:color w:val="FF0000"/>
                <w:w w:val="60"/>
                <w:sz w:val="84"/>
                <w:szCs w:val="84"/>
              </w:rPr>
              <w:t>君山区人力资源和社会保障局</w:t>
            </w:r>
          </w:p>
        </w:tc>
        <w:tc>
          <w:tcPr>
            <w:tcW w:w="2127" w:type="dxa"/>
            <w:vMerge w:val="continue"/>
          </w:tcPr>
          <w:p>
            <w:pPr>
              <w:rPr>
                <w:rFonts w:ascii="方正小标宋简体" w:hAnsi="黑体" w:eastAsia="方正小标宋简体"/>
                <w:sz w:val="32"/>
                <w:szCs w:val="32"/>
              </w:rPr>
            </w:pPr>
          </w:p>
        </w:tc>
      </w:tr>
    </w:tbl>
    <w:p>
      <w:pPr>
        <w:rPr>
          <w:rFonts w:hint="eastAsia" w:ascii="方正小标宋简体" w:hAnsi="黑体" w:eastAsia="方正小标宋简体"/>
          <w:sz w:val="32"/>
          <w:szCs w:val="32"/>
          <w:lang w:val="en-US" w:eastAsia="zh-CN"/>
        </w:rPr>
      </w:pPr>
      <w:bookmarkStart w:id="15" w:name="_GoBack"/>
      <w:bookmarkEnd w:id="15"/>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岳君财发〔2018〕25号</w:t>
      </w:r>
    </w:p>
    <w:p>
      <w:pPr>
        <w:rPr>
          <w:rFonts w:ascii="方正小标宋简体" w:hAnsi="黑体" w:eastAsia="方正小标宋简体"/>
          <w:sz w:val="32"/>
          <w:szCs w:val="32"/>
        </w:rPr>
      </w:pPr>
      <w:r>
        <w:rPr>
          <w:rFonts w:ascii="方正小标宋简体" w:hAnsi="黑体" w:eastAsia="方正小标宋简体"/>
          <w:sz w:val="32"/>
          <w:szCs w:val="32"/>
        </w:rPr>
        <mc:AlternateContent>
          <mc:Choice Requires="wps">
            <w:drawing>
              <wp:anchor distT="0" distB="0" distL="114300" distR="114300" simplePos="0" relativeHeight="251658240" behindDoc="0" locked="0" layoutInCell="1" allowOverlap="1">
                <wp:simplePos x="0" y="0"/>
                <wp:positionH relativeFrom="column">
                  <wp:posOffset>-196850</wp:posOffset>
                </wp:positionH>
                <wp:positionV relativeFrom="paragraph">
                  <wp:posOffset>141605</wp:posOffset>
                </wp:positionV>
                <wp:extent cx="5939790" cy="0"/>
                <wp:effectExtent l="0" t="12700" r="3810" b="17780"/>
                <wp:wrapNone/>
                <wp:docPr id="1" name="自选图形 2"/>
                <wp:cNvGraphicFramePr/>
                <a:graphic xmlns:a="http://schemas.openxmlformats.org/drawingml/2006/main">
                  <a:graphicData uri="http://schemas.microsoft.com/office/word/2010/wordprocessingShape">
                    <wps:wsp>
                      <wps:cNvCnPr/>
                      <wps:spPr>
                        <a:xfrm>
                          <a:off x="0" y="0"/>
                          <a:ext cx="5939790" cy="0"/>
                        </a:xfrm>
                        <a:prstGeom prst="straightConnector1">
                          <a:avLst/>
                        </a:prstGeom>
                        <a:ln w="25400" cap="flat" cmpd="sng">
                          <a:solidFill>
                            <a:srgbClr val="FF0000"/>
                          </a:solidFill>
                          <a:prstDash val="solid"/>
                          <a:headEnd type="none" w="med" len="med"/>
                          <a:tailEnd type="none" w="med" len="med"/>
                        </a:ln>
                      </wps:spPr>
                      <wps:bodyPr/>
                    </wps:wsp>
                  </a:graphicData>
                </a:graphic>
              </wp:anchor>
            </w:drawing>
          </mc:Choice>
          <mc:Fallback>
            <w:pict>
              <v:shape id="自选图形 2" o:spid="_x0000_s1026" o:spt="32" type="#_x0000_t32" style="position:absolute;left:0pt;margin-left:-15.5pt;margin-top:11.15pt;height:0pt;width:467.7pt;z-index:251658240;mso-width-relative:page;mso-height-relative:page;" filled="f" stroked="t" coordsize="21600,21600" o:gfxdata="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9M0SX2AAAAAkBAAAPAAAA&#10;AAAAAAEAIAAAACIAAABkcnMvZG93bnJldi54bWxQSwECFAAUAAAACACHTuJAPfLFqtwBAACWAwAA&#10;DgAAAAAAAAABACAAAAAnAQAAZHJzL2Uyb0RvYy54bWxQSwUGAAAAAAYABgBZAQAAdQUAAAAA&#10;">
                <v:fill on="f" focussize="0,0"/>
                <v:stroke weight="2pt" color="#FF0000" joinstyle="round"/>
                <v:imagedata o:title=""/>
                <o:lock v:ext="edit" aspectratio="f"/>
              </v:shape>
            </w:pict>
          </mc:Fallback>
        </mc:AlternateContent>
      </w:r>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关于进一步规范公务运行经费使用和其他</w:t>
      </w:r>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有关事项的通知</w:t>
      </w:r>
    </w:p>
    <w:p>
      <w:pPr>
        <w:spacing w:line="600" w:lineRule="exact"/>
        <w:rPr>
          <w:rFonts w:ascii="??_GB2312" w:eastAsia="Times New Roman"/>
          <w:sz w:val="32"/>
          <w:szCs w:val="32"/>
        </w:rPr>
      </w:pPr>
    </w:p>
    <w:p>
      <w:pPr>
        <w:spacing w:line="580" w:lineRule="exact"/>
        <w:rPr>
          <w:rFonts w:ascii="仿宋" w:hAnsi="仿宋" w:eastAsia="仿宋" w:cs="仿宋"/>
          <w:sz w:val="32"/>
          <w:szCs w:val="32"/>
        </w:rPr>
      </w:pPr>
      <w:r>
        <w:rPr>
          <w:rFonts w:hint="eastAsia" w:ascii="仿宋" w:hAnsi="仿宋" w:eastAsia="仿宋" w:cs="仿宋"/>
          <w:sz w:val="32"/>
          <w:szCs w:val="32"/>
        </w:rPr>
        <w:t>各镇（办事处）、场，区直各单位：</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为严格贯彻落实中央八项规定和《行政事业单位厉行节约反对浪费条例》（中发﹝</w:t>
      </w:r>
      <w:r>
        <w:rPr>
          <w:rFonts w:ascii="仿宋" w:hAnsi="仿宋" w:eastAsia="仿宋" w:cs="仿宋"/>
          <w:sz w:val="32"/>
          <w:szCs w:val="32"/>
        </w:rPr>
        <w:t>2013</w:t>
      </w:r>
      <w:r>
        <w:rPr>
          <w:rFonts w:hint="eastAsia" w:ascii="仿宋" w:hAnsi="仿宋" w:eastAsia="仿宋" w:cs="仿宋"/>
          <w:sz w:val="32"/>
          <w:szCs w:val="32"/>
        </w:rPr>
        <w:t>﹞</w:t>
      </w:r>
      <w:r>
        <w:rPr>
          <w:rFonts w:ascii="仿宋" w:hAnsi="仿宋" w:eastAsia="仿宋" w:cs="仿宋"/>
          <w:sz w:val="32"/>
          <w:szCs w:val="32"/>
        </w:rPr>
        <w:t>13</w:t>
      </w:r>
      <w:r>
        <w:rPr>
          <w:rFonts w:hint="eastAsia" w:ascii="仿宋" w:hAnsi="仿宋" w:eastAsia="仿宋" w:cs="仿宋"/>
          <w:sz w:val="32"/>
          <w:szCs w:val="32"/>
        </w:rPr>
        <w:t>号），根据《岳阳市君山区党政机关公务招待实施细则》（君办发﹝</w:t>
      </w:r>
      <w:r>
        <w:rPr>
          <w:rFonts w:ascii="仿宋" w:hAnsi="仿宋" w:eastAsia="仿宋" w:cs="仿宋"/>
          <w:sz w:val="32"/>
          <w:szCs w:val="32"/>
        </w:rPr>
        <w:t>2014</w:t>
      </w:r>
      <w:r>
        <w:rPr>
          <w:rFonts w:hint="eastAsia" w:ascii="仿宋" w:hAnsi="仿宋" w:eastAsia="仿宋" w:cs="仿宋"/>
          <w:sz w:val="32"/>
          <w:szCs w:val="32"/>
        </w:rPr>
        <w:t>﹞</w:t>
      </w:r>
      <w:r>
        <w:rPr>
          <w:rFonts w:ascii="仿宋" w:hAnsi="仿宋" w:eastAsia="仿宋" w:cs="仿宋"/>
          <w:sz w:val="32"/>
          <w:szCs w:val="32"/>
        </w:rPr>
        <w:t>17</w:t>
      </w:r>
      <w:r>
        <w:rPr>
          <w:rFonts w:hint="eastAsia" w:ascii="仿宋" w:hAnsi="仿宋" w:eastAsia="仿宋" w:cs="仿宋"/>
          <w:sz w:val="32"/>
          <w:szCs w:val="32"/>
        </w:rPr>
        <w:t>号、《君山区行政事业单位差旅费管理办法的通知》（岳君财﹝</w:t>
      </w:r>
      <w:r>
        <w:rPr>
          <w:rFonts w:ascii="仿宋" w:hAnsi="仿宋" w:eastAsia="仿宋" w:cs="仿宋"/>
          <w:sz w:val="32"/>
          <w:szCs w:val="32"/>
        </w:rPr>
        <w:t>2014</w:t>
      </w:r>
      <w:r>
        <w:rPr>
          <w:rFonts w:hint="eastAsia" w:ascii="仿宋" w:hAnsi="仿宋" w:eastAsia="仿宋" w:cs="仿宋"/>
          <w:sz w:val="32"/>
          <w:szCs w:val="32"/>
        </w:rPr>
        <w:t>﹞</w:t>
      </w:r>
      <w:r>
        <w:rPr>
          <w:rFonts w:ascii="仿宋" w:hAnsi="仿宋" w:eastAsia="仿宋" w:cs="仿宋"/>
          <w:sz w:val="32"/>
          <w:szCs w:val="32"/>
        </w:rPr>
        <w:t>68</w:t>
      </w:r>
      <w:r>
        <w:rPr>
          <w:rFonts w:hint="eastAsia" w:ascii="仿宋" w:hAnsi="仿宋" w:eastAsia="仿宋" w:cs="仿宋"/>
          <w:sz w:val="32"/>
          <w:szCs w:val="32"/>
        </w:rPr>
        <w:t>号、《君山区行政事业单位会议费管理办法的通知》</w:t>
      </w:r>
      <w:r>
        <w:rPr>
          <w:rFonts w:ascii="仿宋" w:hAnsi="仿宋" w:eastAsia="仿宋" w:cs="仿宋"/>
          <w:sz w:val="32"/>
          <w:szCs w:val="32"/>
        </w:rPr>
        <w:t>(</w:t>
      </w:r>
      <w:r>
        <w:rPr>
          <w:rFonts w:hint="eastAsia" w:ascii="仿宋" w:hAnsi="仿宋" w:eastAsia="仿宋" w:cs="仿宋"/>
          <w:sz w:val="32"/>
          <w:szCs w:val="32"/>
        </w:rPr>
        <w:t>岳君财﹝</w:t>
      </w:r>
      <w:r>
        <w:rPr>
          <w:rFonts w:ascii="仿宋" w:hAnsi="仿宋" w:eastAsia="仿宋" w:cs="仿宋"/>
          <w:sz w:val="32"/>
          <w:szCs w:val="32"/>
        </w:rPr>
        <w:t>2014</w:t>
      </w:r>
      <w:r>
        <w:rPr>
          <w:rFonts w:hint="eastAsia" w:ascii="仿宋" w:hAnsi="仿宋" w:eastAsia="仿宋" w:cs="仿宋"/>
          <w:sz w:val="32"/>
          <w:szCs w:val="32"/>
        </w:rPr>
        <w:t>﹞</w:t>
      </w:r>
      <w:r>
        <w:rPr>
          <w:rFonts w:ascii="仿宋" w:hAnsi="仿宋" w:eastAsia="仿宋" w:cs="仿宋"/>
          <w:sz w:val="32"/>
          <w:szCs w:val="32"/>
        </w:rPr>
        <w:t>69</w:t>
      </w:r>
      <w:r>
        <w:rPr>
          <w:rFonts w:hint="eastAsia" w:ascii="仿宋" w:hAnsi="仿宋" w:eastAsia="仿宋" w:cs="仿宋"/>
          <w:sz w:val="32"/>
          <w:szCs w:val="32"/>
        </w:rPr>
        <w:t>号</w:t>
      </w:r>
      <w:r>
        <w:rPr>
          <w:rFonts w:ascii="仿宋" w:hAnsi="仿宋" w:eastAsia="仿宋" w:cs="仿宋"/>
          <w:sz w:val="32"/>
          <w:szCs w:val="32"/>
        </w:rPr>
        <w:t>)</w:t>
      </w:r>
      <w:r>
        <w:rPr>
          <w:rFonts w:hint="eastAsia" w:ascii="仿宋" w:hAnsi="仿宋" w:eastAsia="仿宋" w:cs="仿宋"/>
          <w:sz w:val="32"/>
          <w:szCs w:val="32"/>
        </w:rPr>
        <w:t>和《君山区行政事业单位培训费管理办法的通知》</w:t>
      </w:r>
      <w:r>
        <w:rPr>
          <w:rFonts w:ascii="仿宋" w:hAnsi="仿宋" w:eastAsia="仿宋" w:cs="仿宋"/>
          <w:sz w:val="32"/>
          <w:szCs w:val="32"/>
        </w:rPr>
        <w:t>(</w:t>
      </w:r>
      <w:r>
        <w:rPr>
          <w:rFonts w:hint="eastAsia" w:ascii="仿宋" w:hAnsi="仿宋" w:eastAsia="仿宋" w:cs="仿宋"/>
          <w:sz w:val="32"/>
          <w:szCs w:val="32"/>
        </w:rPr>
        <w:t>岳君财﹝</w:t>
      </w:r>
      <w:r>
        <w:rPr>
          <w:rFonts w:ascii="仿宋" w:hAnsi="仿宋" w:eastAsia="仿宋" w:cs="仿宋"/>
          <w:sz w:val="32"/>
          <w:szCs w:val="32"/>
        </w:rPr>
        <w:t>2014</w:t>
      </w:r>
      <w:r>
        <w:rPr>
          <w:rFonts w:hint="eastAsia" w:ascii="仿宋" w:hAnsi="仿宋" w:eastAsia="仿宋" w:cs="仿宋"/>
          <w:sz w:val="32"/>
          <w:szCs w:val="32"/>
        </w:rPr>
        <w:t>﹞</w:t>
      </w:r>
      <w:r>
        <w:rPr>
          <w:rFonts w:ascii="仿宋" w:hAnsi="仿宋" w:eastAsia="仿宋" w:cs="仿宋"/>
          <w:sz w:val="32"/>
          <w:szCs w:val="32"/>
        </w:rPr>
        <w:t>70</w:t>
      </w:r>
      <w:r>
        <w:rPr>
          <w:rFonts w:hint="eastAsia" w:ascii="仿宋" w:hAnsi="仿宋" w:eastAsia="仿宋" w:cs="仿宋"/>
          <w:sz w:val="32"/>
          <w:szCs w:val="32"/>
        </w:rPr>
        <w:t>号</w:t>
      </w:r>
      <w:r>
        <w:rPr>
          <w:rFonts w:ascii="仿宋" w:hAnsi="仿宋" w:eastAsia="仿宋" w:cs="仿宋"/>
          <w:sz w:val="32"/>
          <w:szCs w:val="32"/>
        </w:rPr>
        <w:t>)</w:t>
      </w:r>
      <w:r>
        <w:rPr>
          <w:rFonts w:hint="eastAsia" w:ascii="仿宋" w:hAnsi="仿宋" w:eastAsia="仿宋" w:cs="仿宋"/>
          <w:sz w:val="32"/>
          <w:szCs w:val="32"/>
        </w:rPr>
        <w:t>、《关于明确省直党政机关公务活动用餐有关事项的通知》（湘财行﹝2018﹞62号）等文件精神，结合我区工作实际，现就进一步加强和规范公务运行经费的使用和其他有关事项通知如下：</w:t>
      </w:r>
    </w:p>
    <w:p>
      <w:pPr>
        <w:spacing w:line="580" w:lineRule="exact"/>
        <w:ind w:firstLine="643" w:firstLineChars="200"/>
        <w:rPr>
          <w:rFonts w:ascii="黑体" w:eastAsia="黑体"/>
          <w:b/>
          <w:bCs/>
          <w:sz w:val="32"/>
          <w:szCs w:val="32"/>
        </w:rPr>
      </w:pPr>
      <w:r>
        <w:rPr>
          <w:rFonts w:hint="eastAsia" w:ascii="黑体" w:eastAsia="黑体"/>
          <w:b/>
          <w:bCs/>
          <w:sz w:val="32"/>
          <w:szCs w:val="32"/>
        </w:rPr>
        <w:t>一、关于公务运行经费使用</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公务运行经费按照年度预算和年度财务计划执行，运行情况和结果按要求向相关单位和部门报告。符合政府采购规定的要按程序办理，对于价值较大和使用时间较长的分别按照固定资产和低值易耗品的要求进行管理，对于大批量的采购货物，在一个会计核算期内一次性“消耗”不了的物品要进行“出”、“入”库核算。</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（一）办公用品的报销必须附有明细清单以及经办人的签名并载明事由。</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（二）除办公室使用茶叶外，一律禁止烟、酒、土特产、礼品、私人会所、娱乐场所等违反八项规定精神的费用入帐。</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（三）办公用茶叶的购买标准为</w:t>
      </w:r>
      <w:r>
        <w:rPr>
          <w:rFonts w:ascii="仿宋" w:hAnsi="仿宋" w:eastAsia="仿宋" w:cs="仿宋"/>
          <w:sz w:val="32"/>
          <w:szCs w:val="32"/>
        </w:rPr>
        <w:t>200</w:t>
      </w:r>
      <w:r>
        <w:rPr>
          <w:rFonts w:hint="eastAsia" w:ascii="仿宋" w:hAnsi="仿宋" w:eastAsia="仿宋" w:cs="仿宋"/>
          <w:sz w:val="32"/>
          <w:szCs w:val="32"/>
        </w:rPr>
        <w:t>元</w:t>
      </w:r>
      <w:r>
        <w:rPr>
          <w:rFonts w:ascii="仿宋" w:hAnsi="仿宋" w:eastAsia="仿宋" w:cs="仿宋"/>
          <w:sz w:val="32"/>
          <w:szCs w:val="32"/>
        </w:rPr>
        <w:t>/</w:t>
      </w:r>
      <w:r>
        <w:rPr>
          <w:rFonts w:hint="eastAsia" w:ascii="仿宋" w:hAnsi="仿宋" w:eastAsia="仿宋" w:cs="仿宋"/>
          <w:sz w:val="32"/>
          <w:szCs w:val="32"/>
        </w:rPr>
        <w:t>斤以下，并且报帐时需附有各领用人签字明细。</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（四）资料费、文印费必须附有明细并且由经办人签字。</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五）严禁同城宴请。在君山区本区域范围内从事公务活动(本通知所称公务活动，是指出席会议、考察调研、执行任务、学习交流、检查指导、请示汇报工作等)，不得安排宴请等公务接待。确需安排工作餐的，一律在对方单位食堂按单位工作人员用餐标准就餐。如因执行任务等需要安排住宿的根据区委、区政府等有关文件规定执行。</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（六）公务接待费用入帐报销须附有发票</w:t>
      </w:r>
      <w:r>
        <w:rPr>
          <w:rFonts w:ascii="仿宋" w:hAnsi="仿宋" w:eastAsia="仿宋" w:cs="仿宋"/>
          <w:sz w:val="32"/>
          <w:szCs w:val="32"/>
        </w:rPr>
        <w:t>(</w:t>
      </w:r>
      <w:r>
        <w:rPr>
          <w:rFonts w:hint="eastAsia" w:ascii="仿宋" w:hAnsi="仿宋" w:eastAsia="仿宋" w:cs="仿宋"/>
          <w:sz w:val="32"/>
          <w:szCs w:val="32"/>
        </w:rPr>
        <w:t>内部食堂开餐除外</w:t>
      </w:r>
      <w:r>
        <w:rPr>
          <w:rFonts w:ascii="仿宋" w:hAnsi="仿宋" w:eastAsia="仿宋" w:cs="仿宋"/>
          <w:sz w:val="32"/>
          <w:szCs w:val="32"/>
        </w:rPr>
        <w:t>)</w:t>
      </w:r>
      <w:r>
        <w:rPr>
          <w:rFonts w:hint="eastAsia" w:ascii="仿宋" w:hAnsi="仿宋" w:eastAsia="仿宋" w:cs="仿宋"/>
          <w:sz w:val="32"/>
          <w:szCs w:val="32"/>
        </w:rPr>
        <w:t>、接待公函（本通知所称公函，是指公函、活动通知、会议通知或方案等）、菜单、接待清单（见附表</w:t>
      </w:r>
      <w:r>
        <w:rPr>
          <w:rFonts w:ascii="仿宋" w:hAnsi="仿宋" w:eastAsia="仿宋" w:cs="仿宋"/>
          <w:sz w:val="32"/>
          <w:szCs w:val="32"/>
        </w:rPr>
        <w:t>3</w:t>
      </w:r>
      <w:r>
        <w:rPr>
          <w:rFonts w:hint="eastAsia" w:ascii="仿宋" w:hAnsi="仿宋" w:eastAsia="仿宋" w:cs="仿宋"/>
          <w:sz w:val="32"/>
          <w:szCs w:val="32"/>
        </w:rPr>
        <w:t>）、收据</w:t>
      </w:r>
      <w:r>
        <w:rPr>
          <w:rFonts w:ascii="仿宋" w:hAnsi="仿宋" w:eastAsia="仿宋" w:cs="仿宋"/>
          <w:sz w:val="32"/>
          <w:szCs w:val="32"/>
        </w:rPr>
        <w:t>(</w:t>
      </w:r>
      <w:r>
        <w:rPr>
          <w:rFonts w:hint="eastAsia" w:ascii="仿宋" w:hAnsi="仿宋" w:eastAsia="仿宋" w:cs="仿宋"/>
          <w:sz w:val="32"/>
          <w:szCs w:val="32"/>
        </w:rPr>
        <w:t>就餐缴款的收据</w:t>
      </w:r>
      <w:r>
        <w:rPr>
          <w:rFonts w:ascii="仿宋" w:hAnsi="仿宋" w:eastAsia="仿宋" w:cs="仿宋"/>
          <w:sz w:val="32"/>
          <w:szCs w:val="32"/>
        </w:rPr>
        <w:t>)</w:t>
      </w:r>
      <w:r>
        <w:rPr>
          <w:rFonts w:hint="eastAsia" w:ascii="仿宋" w:hAnsi="仿宋" w:eastAsia="仿宋" w:cs="仿宋"/>
          <w:sz w:val="32"/>
          <w:szCs w:val="32"/>
        </w:rPr>
        <w:t>。（</w:t>
      </w:r>
      <w:r>
        <w:rPr>
          <w:rFonts w:ascii="仿宋" w:hAnsi="仿宋" w:eastAsia="仿宋" w:cs="仿宋"/>
          <w:sz w:val="32"/>
          <w:szCs w:val="32"/>
        </w:rPr>
        <w:t>1</w:t>
      </w:r>
      <w:r>
        <w:rPr>
          <w:rFonts w:hint="eastAsia" w:ascii="仿宋" w:hAnsi="仿宋" w:eastAsia="仿宋" w:cs="仿宋"/>
          <w:sz w:val="32"/>
          <w:szCs w:val="32"/>
        </w:rPr>
        <w:t>）菜单必须写明事由、大写金额以及经办人签名，菜单上除菜、饮料外不能有其他违反规定的项目。（</w:t>
      </w:r>
      <w:r>
        <w:rPr>
          <w:rFonts w:ascii="仿宋" w:hAnsi="仿宋" w:eastAsia="仿宋" w:cs="仿宋"/>
          <w:sz w:val="32"/>
          <w:szCs w:val="32"/>
        </w:rPr>
        <w:t>2</w:t>
      </w:r>
      <w:r>
        <w:rPr>
          <w:rFonts w:hint="eastAsia" w:ascii="仿宋" w:hAnsi="仿宋" w:eastAsia="仿宋" w:cs="仿宋"/>
          <w:sz w:val="32"/>
          <w:szCs w:val="32"/>
        </w:rPr>
        <w:t>）接待标准为：省部级200元/人、餐，厅局级160元/人、餐，其他人员80元/人、餐。同一批次接待人员，按用餐人员中最高级别对应的标准安排用餐。除按规定安排陪同人员外(陪同人员不超过来客的1/3)确因工作需要的工作人员，可以按本通知的第七条的标准安排工作餐。（3）原则上公务接待只安排一餐，可不用缴纳用餐费用。确因工作需要，需由对方单位协助安排用餐的在出差伙食补助内安排(早餐20元，中晚餐各40元；出差目地为西藏、青海、新疆的早餐20元，中晚餐各50元)不作为接待费用，餐费由用餐人员据实结帐支付，接待单位不承担协助安排用餐费用。（4）除内部食堂接待外，原则上用公务卡结算。</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（七）工作用餐严格审批，归口管理。因公务不能回家或回单位食堂就餐等原因需在外就餐的，只需附发票、菜单入帐，但要写清事由，可在早餐</w:t>
      </w:r>
      <w:r>
        <w:rPr>
          <w:rFonts w:ascii="仿宋" w:hAnsi="仿宋" w:eastAsia="仿宋" w:cs="仿宋"/>
          <w:sz w:val="32"/>
          <w:szCs w:val="32"/>
        </w:rPr>
        <w:t>20</w:t>
      </w:r>
      <w:r>
        <w:rPr>
          <w:rFonts w:hint="eastAsia" w:ascii="仿宋" w:hAnsi="仿宋" w:eastAsia="仿宋" w:cs="仿宋"/>
          <w:sz w:val="32"/>
          <w:szCs w:val="32"/>
        </w:rPr>
        <w:t>元，中晚餐各</w:t>
      </w:r>
      <w:r>
        <w:rPr>
          <w:rFonts w:ascii="仿宋" w:hAnsi="仿宋" w:eastAsia="仿宋" w:cs="仿宋"/>
          <w:sz w:val="32"/>
          <w:szCs w:val="32"/>
        </w:rPr>
        <w:t>40</w:t>
      </w:r>
      <w:r>
        <w:rPr>
          <w:rFonts w:hint="eastAsia" w:ascii="仿宋" w:hAnsi="仿宋" w:eastAsia="仿宋" w:cs="仿宋"/>
          <w:sz w:val="32"/>
          <w:szCs w:val="32"/>
        </w:rPr>
        <w:t>元每人每餐的标准内据实报销。工作人员工作日在单位连续加班</w:t>
      </w:r>
      <w:r>
        <w:rPr>
          <w:rFonts w:ascii="仿宋" w:hAnsi="仿宋" w:eastAsia="仿宋" w:cs="仿宋"/>
          <w:sz w:val="32"/>
          <w:szCs w:val="32"/>
        </w:rPr>
        <w:t>4</w:t>
      </w:r>
      <w:r>
        <w:rPr>
          <w:rFonts w:hint="eastAsia" w:ascii="仿宋" w:hAnsi="仿宋" w:eastAsia="仿宋" w:cs="仿宋"/>
          <w:sz w:val="32"/>
          <w:szCs w:val="32"/>
        </w:rPr>
        <w:t>小时以上的可安排一餐工作餐，休息日在单位连续加班</w:t>
      </w:r>
      <w:r>
        <w:rPr>
          <w:rFonts w:ascii="仿宋" w:hAnsi="仿宋" w:eastAsia="仿宋" w:cs="仿宋"/>
          <w:sz w:val="32"/>
          <w:szCs w:val="32"/>
        </w:rPr>
        <w:t>4</w:t>
      </w:r>
      <w:r>
        <w:rPr>
          <w:rFonts w:hint="eastAsia" w:ascii="仿宋" w:hAnsi="仿宋" w:eastAsia="仿宋" w:cs="仿宋"/>
          <w:sz w:val="32"/>
          <w:szCs w:val="32"/>
        </w:rPr>
        <w:t>小时以上</w:t>
      </w:r>
      <w:r>
        <w:rPr>
          <w:rFonts w:ascii="仿宋" w:hAnsi="仿宋" w:eastAsia="仿宋" w:cs="仿宋"/>
          <w:sz w:val="32"/>
          <w:szCs w:val="32"/>
        </w:rPr>
        <w:t>8</w:t>
      </w:r>
      <w:r>
        <w:rPr>
          <w:rFonts w:hint="eastAsia" w:ascii="仿宋" w:hAnsi="仿宋" w:eastAsia="仿宋" w:cs="仿宋"/>
          <w:sz w:val="32"/>
          <w:szCs w:val="32"/>
        </w:rPr>
        <w:t>小时以内的可安排二餐工作餐。</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各单位应就工作餐制定具体实施办法，严格审批程序，定期对工作餐安排情况在单位内部进行公示。</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（八）参改单位公务用车严格按照区委区政府办印发的《君山区公务用车制度改革实施方案的通知》（君办发﹝</w:t>
      </w:r>
      <w:r>
        <w:rPr>
          <w:rFonts w:ascii="仿宋" w:hAnsi="仿宋" w:eastAsia="仿宋" w:cs="仿宋"/>
          <w:sz w:val="32"/>
          <w:szCs w:val="32"/>
        </w:rPr>
        <w:t>2016</w:t>
      </w:r>
      <w:r>
        <w:rPr>
          <w:rFonts w:hint="eastAsia" w:ascii="仿宋" w:hAnsi="仿宋" w:eastAsia="仿宋" w:cs="仿宋"/>
          <w:sz w:val="32"/>
          <w:szCs w:val="32"/>
        </w:rPr>
        <w:t>﹞</w:t>
      </w:r>
      <w:r>
        <w:rPr>
          <w:rFonts w:ascii="仿宋" w:hAnsi="仿宋" w:eastAsia="仿宋" w:cs="仿宋"/>
          <w:sz w:val="32"/>
          <w:szCs w:val="32"/>
        </w:rPr>
        <w:t>17</w:t>
      </w:r>
      <w:r>
        <w:rPr>
          <w:rFonts w:hint="eastAsia" w:ascii="仿宋" w:hAnsi="仿宋" w:eastAsia="仿宋" w:cs="仿宋"/>
          <w:sz w:val="32"/>
          <w:szCs w:val="32"/>
        </w:rPr>
        <w:t>号）文件执行。结算时应附有税务发票调车明细，包括日期、用车事由、地点、经办人签字。</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（九）按规定保留车辆的单位公务用车原则在区内定点加油、维修、保险。（</w:t>
      </w:r>
      <w:r>
        <w:rPr>
          <w:rFonts w:ascii="仿宋" w:hAnsi="仿宋" w:eastAsia="仿宋" w:cs="仿宋"/>
          <w:sz w:val="32"/>
          <w:szCs w:val="32"/>
        </w:rPr>
        <w:t>1</w:t>
      </w:r>
      <w:r>
        <w:rPr>
          <w:rFonts w:hint="eastAsia" w:ascii="仿宋" w:hAnsi="仿宋" w:eastAsia="仿宋" w:cs="仿宋"/>
          <w:sz w:val="32"/>
          <w:szCs w:val="32"/>
        </w:rPr>
        <w:t>）油票结帐时原则上须附有每次加油详细清单，包括车牌号、前后两次的里程数等；（</w:t>
      </w:r>
      <w:r>
        <w:rPr>
          <w:rFonts w:ascii="仿宋" w:hAnsi="仿宋" w:eastAsia="仿宋" w:cs="仿宋"/>
          <w:sz w:val="32"/>
          <w:szCs w:val="32"/>
        </w:rPr>
        <w:t>2</w:t>
      </w:r>
      <w:r>
        <w:rPr>
          <w:rFonts w:hint="eastAsia" w:ascii="仿宋" w:hAnsi="仿宋" w:eastAsia="仿宋" w:cs="仿宋"/>
          <w:sz w:val="32"/>
          <w:szCs w:val="32"/>
        </w:rPr>
        <w:t>）临时加油的油票必须说明事由、原因</w:t>
      </w:r>
      <w:r>
        <w:rPr>
          <w:rFonts w:ascii="仿宋" w:hAnsi="仿宋" w:eastAsia="仿宋" w:cs="仿宋"/>
          <w:sz w:val="32"/>
          <w:szCs w:val="32"/>
        </w:rPr>
        <w:t>;</w:t>
      </w:r>
      <w:r>
        <w:rPr>
          <w:rFonts w:hint="eastAsia" w:ascii="仿宋" w:hAnsi="仿宋" w:eastAsia="仿宋" w:cs="仿宋"/>
          <w:sz w:val="32"/>
          <w:szCs w:val="32"/>
        </w:rPr>
        <w:t>（</w:t>
      </w:r>
      <w:r>
        <w:rPr>
          <w:rFonts w:ascii="仿宋" w:hAnsi="仿宋" w:eastAsia="仿宋" w:cs="仿宋"/>
          <w:sz w:val="32"/>
          <w:szCs w:val="32"/>
        </w:rPr>
        <w:t>3</w:t>
      </w:r>
      <w:r>
        <w:rPr>
          <w:rFonts w:hint="eastAsia" w:ascii="仿宋" w:hAnsi="仿宋" w:eastAsia="仿宋" w:cs="仿宋"/>
          <w:sz w:val="32"/>
          <w:szCs w:val="32"/>
        </w:rPr>
        <w:t>）维修费必须附有维修配件清单。</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（十）会议费的报销必须提供：（</w:t>
      </w:r>
      <w:r>
        <w:rPr>
          <w:rFonts w:ascii="仿宋" w:hAnsi="仿宋" w:eastAsia="仿宋" w:cs="仿宋"/>
          <w:sz w:val="32"/>
          <w:szCs w:val="32"/>
        </w:rPr>
        <w:t>1</w:t>
      </w:r>
      <w:r>
        <w:rPr>
          <w:rFonts w:hint="eastAsia" w:ascii="仿宋" w:hAnsi="仿宋" w:eastAsia="仿宋" w:cs="仿宋"/>
          <w:sz w:val="32"/>
          <w:szCs w:val="32"/>
        </w:rPr>
        <w:t>）审批文件；（</w:t>
      </w:r>
      <w:r>
        <w:rPr>
          <w:rFonts w:ascii="仿宋" w:hAnsi="仿宋" w:eastAsia="仿宋" w:cs="仿宋"/>
          <w:sz w:val="32"/>
          <w:szCs w:val="32"/>
        </w:rPr>
        <w:t>2</w:t>
      </w:r>
      <w:r>
        <w:rPr>
          <w:rFonts w:hint="eastAsia" w:ascii="仿宋" w:hAnsi="仿宋" w:eastAsia="仿宋" w:cs="仿宋"/>
          <w:sz w:val="32"/>
          <w:szCs w:val="32"/>
        </w:rPr>
        <w:t>）会议通知；（</w:t>
      </w:r>
      <w:r>
        <w:rPr>
          <w:rFonts w:ascii="仿宋" w:hAnsi="仿宋" w:eastAsia="仿宋" w:cs="仿宋"/>
          <w:sz w:val="32"/>
          <w:szCs w:val="32"/>
        </w:rPr>
        <w:t>3</w:t>
      </w:r>
      <w:r>
        <w:rPr>
          <w:rFonts w:hint="eastAsia" w:ascii="仿宋" w:hAnsi="仿宋" w:eastAsia="仿宋" w:cs="仿宋"/>
          <w:sz w:val="32"/>
          <w:szCs w:val="32"/>
        </w:rPr>
        <w:t>）会议人员签到；（</w:t>
      </w:r>
      <w:r>
        <w:rPr>
          <w:rFonts w:ascii="仿宋" w:hAnsi="仿宋" w:eastAsia="仿宋" w:cs="仿宋"/>
          <w:sz w:val="32"/>
          <w:szCs w:val="32"/>
        </w:rPr>
        <w:t>4</w:t>
      </w:r>
      <w:r>
        <w:rPr>
          <w:rFonts w:hint="eastAsia" w:ascii="仿宋" w:hAnsi="仿宋" w:eastAsia="仿宋" w:cs="仿宋"/>
          <w:sz w:val="32"/>
          <w:szCs w:val="32"/>
        </w:rPr>
        <w:t>）会议宾馆或饭店提供的明细单据、电子结帐单、会议服务协议书。一类会议会期按照批准文件，根据工作需要从严控制；二类会议除法定会议外，会期一般不得超过</w:t>
      </w:r>
      <w:r>
        <w:rPr>
          <w:rFonts w:ascii="仿宋" w:hAnsi="仿宋" w:eastAsia="仿宋" w:cs="仿宋"/>
          <w:sz w:val="32"/>
          <w:szCs w:val="32"/>
        </w:rPr>
        <w:t>2</w:t>
      </w:r>
      <w:r>
        <w:rPr>
          <w:rFonts w:hint="eastAsia" w:ascii="仿宋" w:hAnsi="仿宋" w:eastAsia="仿宋" w:cs="仿宋"/>
          <w:sz w:val="32"/>
          <w:szCs w:val="32"/>
        </w:rPr>
        <w:t>天；三类会议会期不得超过</w:t>
      </w:r>
      <w:r>
        <w:rPr>
          <w:rFonts w:ascii="仿宋" w:hAnsi="仿宋" w:eastAsia="仿宋" w:cs="仿宋"/>
          <w:sz w:val="32"/>
          <w:szCs w:val="32"/>
        </w:rPr>
        <w:t>1</w:t>
      </w:r>
      <w:r>
        <w:rPr>
          <w:rFonts w:hint="eastAsia" w:ascii="仿宋" w:hAnsi="仿宋" w:eastAsia="仿宋" w:cs="仿宋"/>
          <w:sz w:val="32"/>
          <w:szCs w:val="32"/>
        </w:rPr>
        <w:t>天，其中，单位内设机构召开的各类会议，会期一般不得超过半天；传达布置类会议会期不得超过半天。</w:t>
      </w:r>
    </w:p>
    <w:tbl>
      <w:tblPr>
        <w:tblStyle w:val="5"/>
        <w:tblW w:w="849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9"/>
        <w:gridCol w:w="1646"/>
        <w:gridCol w:w="1646"/>
        <w:gridCol w:w="1646"/>
        <w:gridCol w:w="1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1909" w:type="dxa"/>
            <w:vAlign w:val="center"/>
          </w:tcPr>
          <w:p>
            <w:pPr>
              <w:jc w:val="center"/>
              <w:rPr>
                <w:rFonts w:ascii="仿宋" w:hAnsi="仿宋" w:eastAsia="仿宋" w:cs="仿宋"/>
                <w:kern w:val="0"/>
                <w:sz w:val="32"/>
                <w:szCs w:val="32"/>
              </w:rPr>
            </w:pPr>
            <w:r>
              <w:rPr>
                <w:rFonts w:hint="eastAsia" w:ascii="仿宋" w:hAnsi="仿宋" w:eastAsia="仿宋" w:cs="仿宋"/>
                <w:kern w:val="0"/>
                <w:sz w:val="32"/>
                <w:szCs w:val="32"/>
              </w:rPr>
              <w:t>会议类别</w:t>
            </w:r>
          </w:p>
        </w:tc>
        <w:tc>
          <w:tcPr>
            <w:tcW w:w="1646" w:type="dxa"/>
            <w:vAlign w:val="center"/>
          </w:tcPr>
          <w:p>
            <w:pPr>
              <w:jc w:val="center"/>
              <w:rPr>
                <w:rFonts w:ascii="仿宋" w:hAnsi="仿宋" w:eastAsia="仿宋" w:cs="仿宋"/>
                <w:kern w:val="0"/>
                <w:sz w:val="32"/>
                <w:szCs w:val="32"/>
              </w:rPr>
            </w:pPr>
            <w:r>
              <w:rPr>
                <w:rFonts w:hint="eastAsia" w:ascii="仿宋" w:hAnsi="仿宋" w:eastAsia="仿宋" w:cs="仿宋"/>
                <w:kern w:val="0"/>
                <w:sz w:val="32"/>
                <w:szCs w:val="32"/>
              </w:rPr>
              <w:t>住宿费</w:t>
            </w:r>
          </w:p>
        </w:tc>
        <w:tc>
          <w:tcPr>
            <w:tcW w:w="1646" w:type="dxa"/>
            <w:vAlign w:val="center"/>
          </w:tcPr>
          <w:p>
            <w:pPr>
              <w:jc w:val="center"/>
              <w:rPr>
                <w:rFonts w:ascii="仿宋" w:hAnsi="仿宋" w:eastAsia="仿宋" w:cs="仿宋"/>
                <w:kern w:val="0"/>
                <w:sz w:val="32"/>
                <w:szCs w:val="32"/>
              </w:rPr>
            </w:pPr>
            <w:r>
              <w:rPr>
                <w:rFonts w:hint="eastAsia" w:ascii="仿宋" w:hAnsi="仿宋" w:eastAsia="仿宋" w:cs="仿宋"/>
                <w:kern w:val="0"/>
                <w:sz w:val="32"/>
                <w:szCs w:val="32"/>
              </w:rPr>
              <w:t>伙食费</w:t>
            </w:r>
          </w:p>
        </w:tc>
        <w:tc>
          <w:tcPr>
            <w:tcW w:w="1646" w:type="dxa"/>
            <w:vAlign w:val="center"/>
          </w:tcPr>
          <w:p>
            <w:pPr>
              <w:jc w:val="center"/>
              <w:rPr>
                <w:rFonts w:ascii="仿宋" w:hAnsi="仿宋" w:eastAsia="仿宋" w:cs="仿宋"/>
                <w:kern w:val="0"/>
                <w:sz w:val="32"/>
                <w:szCs w:val="32"/>
              </w:rPr>
            </w:pPr>
            <w:r>
              <w:rPr>
                <w:rFonts w:hint="eastAsia" w:ascii="仿宋" w:hAnsi="仿宋" w:eastAsia="仿宋" w:cs="仿宋"/>
                <w:kern w:val="0"/>
                <w:sz w:val="32"/>
                <w:szCs w:val="32"/>
              </w:rPr>
              <w:t>其他费用</w:t>
            </w:r>
          </w:p>
        </w:tc>
        <w:tc>
          <w:tcPr>
            <w:tcW w:w="1647" w:type="dxa"/>
            <w:vAlign w:val="center"/>
          </w:tcPr>
          <w:p>
            <w:pPr>
              <w:jc w:val="center"/>
              <w:rPr>
                <w:rFonts w:ascii="仿宋" w:hAnsi="仿宋" w:eastAsia="仿宋" w:cs="仿宋"/>
                <w:kern w:val="0"/>
                <w:sz w:val="32"/>
                <w:szCs w:val="32"/>
              </w:rPr>
            </w:pPr>
            <w:r>
              <w:rPr>
                <w:rFonts w:hint="eastAsia" w:ascii="仿宋" w:hAnsi="仿宋" w:eastAsia="仿宋" w:cs="仿宋"/>
                <w:kern w:val="0"/>
                <w:sz w:val="32"/>
                <w:szCs w:val="32"/>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1909" w:type="dxa"/>
            <w:vAlign w:val="center"/>
          </w:tcPr>
          <w:p>
            <w:pPr>
              <w:jc w:val="center"/>
              <w:rPr>
                <w:rFonts w:ascii="仿宋" w:hAnsi="仿宋" w:eastAsia="仿宋" w:cs="仿宋"/>
                <w:kern w:val="0"/>
                <w:sz w:val="32"/>
                <w:szCs w:val="32"/>
              </w:rPr>
            </w:pPr>
            <w:r>
              <w:rPr>
                <w:rFonts w:hint="eastAsia" w:ascii="仿宋" w:hAnsi="仿宋" w:eastAsia="仿宋" w:cs="仿宋"/>
                <w:kern w:val="0"/>
                <w:sz w:val="32"/>
                <w:szCs w:val="32"/>
              </w:rPr>
              <w:t>一类会议</w:t>
            </w:r>
          </w:p>
        </w:tc>
        <w:tc>
          <w:tcPr>
            <w:tcW w:w="1646"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330</w:t>
            </w:r>
          </w:p>
        </w:tc>
        <w:tc>
          <w:tcPr>
            <w:tcW w:w="1646"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150</w:t>
            </w:r>
          </w:p>
        </w:tc>
        <w:tc>
          <w:tcPr>
            <w:tcW w:w="1646"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120</w:t>
            </w:r>
          </w:p>
        </w:tc>
        <w:tc>
          <w:tcPr>
            <w:tcW w:w="1647"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1909" w:type="dxa"/>
            <w:vAlign w:val="center"/>
          </w:tcPr>
          <w:p>
            <w:pPr>
              <w:jc w:val="center"/>
              <w:rPr>
                <w:rFonts w:ascii="仿宋" w:hAnsi="仿宋" w:eastAsia="仿宋" w:cs="仿宋"/>
                <w:kern w:val="0"/>
                <w:sz w:val="32"/>
                <w:szCs w:val="32"/>
              </w:rPr>
            </w:pPr>
            <w:r>
              <w:rPr>
                <w:rFonts w:hint="eastAsia" w:ascii="仿宋" w:hAnsi="仿宋" w:eastAsia="仿宋" w:cs="仿宋"/>
                <w:kern w:val="0"/>
                <w:sz w:val="32"/>
                <w:szCs w:val="32"/>
              </w:rPr>
              <w:t>二类会议</w:t>
            </w:r>
          </w:p>
        </w:tc>
        <w:tc>
          <w:tcPr>
            <w:tcW w:w="1646"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290</w:t>
            </w:r>
          </w:p>
        </w:tc>
        <w:tc>
          <w:tcPr>
            <w:tcW w:w="1646"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140</w:t>
            </w:r>
          </w:p>
        </w:tc>
        <w:tc>
          <w:tcPr>
            <w:tcW w:w="1646"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100</w:t>
            </w:r>
          </w:p>
        </w:tc>
        <w:tc>
          <w:tcPr>
            <w:tcW w:w="1647"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1909" w:type="dxa"/>
            <w:vAlign w:val="center"/>
          </w:tcPr>
          <w:p>
            <w:pPr>
              <w:jc w:val="center"/>
              <w:rPr>
                <w:rFonts w:ascii="仿宋" w:hAnsi="仿宋" w:eastAsia="仿宋" w:cs="仿宋"/>
                <w:kern w:val="0"/>
                <w:sz w:val="32"/>
                <w:szCs w:val="32"/>
              </w:rPr>
            </w:pPr>
            <w:r>
              <w:rPr>
                <w:rFonts w:hint="eastAsia" w:ascii="仿宋" w:hAnsi="仿宋" w:eastAsia="仿宋" w:cs="仿宋"/>
                <w:kern w:val="0"/>
                <w:sz w:val="32"/>
                <w:szCs w:val="32"/>
              </w:rPr>
              <w:t>三类会议</w:t>
            </w:r>
          </w:p>
        </w:tc>
        <w:tc>
          <w:tcPr>
            <w:tcW w:w="1646"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240</w:t>
            </w:r>
          </w:p>
        </w:tc>
        <w:tc>
          <w:tcPr>
            <w:tcW w:w="1646"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130</w:t>
            </w:r>
          </w:p>
        </w:tc>
        <w:tc>
          <w:tcPr>
            <w:tcW w:w="1646"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70</w:t>
            </w:r>
          </w:p>
        </w:tc>
        <w:tc>
          <w:tcPr>
            <w:tcW w:w="1647"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440</w:t>
            </w:r>
          </w:p>
        </w:tc>
      </w:tr>
    </w:tbl>
    <w:p>
      <w:pPr>
        <w:ind w:firstLine="640" w:firstLineChars="200"/>
        <w:rPr>
          <w:rFonts w:ascii="仿宋" w:hAnsi="仿宋" w:eastAsia="仿宋" w:cs="仿宋"/>
          <w:sz w:val="32"/>
          <w:szCs w:val="32"/>
        </w:rPr>
      </w:pPr>
      <w:r>
        <w:rPr>
          <w:rFonts w:hint="eastAsia" w:ascii="仿宋" w:hAnsi="仿宋" w:eastAsia="仿宋" w:cs="仿宋"/>
          <w:sz w:val="32"/>
          <w:szCs w:val="32"/>
        </w:rPr>
        <w:t>会议期间，对农民代表和城市无固定收入代表由会议承办单位按照每人每天</w:t>
      </w:r>
      <w:r>
        <w:rPr>
          <w:rFonts w:ascii="仿宋" w:hAnsi="仿宋" w:eastAsia="仿宋" w:cs="仿宋"/>
          <w:sz w:val="32"/>
          <w:szCs w:val="32"/>
        </w:rPr>
        <w:t>100</w:t>
      </w:r>
      <w:r>
        <w:rPr>
          <w:rFonts w:hint="eastAsia" w:ascii="仿宋" w:hAnsi="仿宋" w:eastAsia="仿宋" w:cs="仿宋"/>
          <w:sz w:val="32"/>
          <w:szCs w:val="32"/>
        </w:rPr>
        <w:t>元的标准发放误工补助，在综合定额标准的“其他费用”中统筹开支。</w:t>
      </w:r>
    </w:p>
    <w:p>
      <w:pPr>
        <w:ind w:firstLine="640" w:firstLineChars="200"/>
        <w:rPr>
          <w:rFonts w:ascii="仿宋" w:hAnsi="仿宋" w:eastAsia="仿宋" w:cs="仿宋"/>
          <w:sz w:val="32"/>
          <w:szCs w:val="32"/>
        </w:rPr>
      </w:pPr>
      <w:r>
        <w:rPr>
          <w:rFonts w:hint="eastAsia" w:ascii="仿宋" w:hAnsi="仿宋" w:eastAsia="仿宋" w:cs="仿宋"/>
          <w:sz w:val="32"/>
          <w:szCs w:val="32"/>
        </w:rPr>
        <w:t>（十一）培训费实行综合定额标准，分项核定、总额控制。综合定额标准是培训费开支的上限，各项费用之间可调剂使用。综合定额标准如下：</w:t>
      </w:r>
    </w:p>
    <w:p>
      <w:pPr>
        <w:spacing w:line="400" w:lineRule="exact"/>
        <w:ind w:firstLine="640" w:firstLineChars="200"/>
        <w:jc w:val="right"/>
        <w:rPr>
          <w:rFonts w:ascii="仿宋" w:hAnsi="仿宋" w:eastAsia="仿宋" w:cs="仿宋"/>
          <w:sz w:val="32"/>
          <w:szCs w:val="32"/>
        </w:rPr>
      </w:pPr>
      <w:r>
        <w:rPr>
          <w:rFonts w:hint="eastAsia" w:ascii="仿宋" w:hAnsi="仿宋" w:eastAsia="仿宋" w:cs="仿宋"/>
          <w:sz w:val="32"/>
          <w:szCs w:val="32"/>
        </w:rPr>
        <w:t>单位：元</w:t>
      </w:r>
      <w:r>
        <w:rPr>
          <w:rFonts w:ascii="仿宋" w:hAnsi="仿宋" w:eastAsia="仿宋" w:cs="仿宋"/>
          <w:sz w:val="32"/>
          <w:szCs w:val="32"/>
        </w:rPr>
        <w:t>/</w:t>
      </w:r>
      <w:r>
        <w:rPr>
          <w:rFonts w:hint="eastAsia" w:ascii="仿宋" w:hAnsi="仿宋" w:eastAsia="仿宋" w:cs="仿宋"/>
          <w:sz w:val="32"/>
          <w:szCs w:val="32"/>
        </w:rPr>
        <w:t>人天</w:t>
      </w:r>
    </w:p>
    <w:tbl>
      <w:tblPr>
        <w:tblStyle w:val="5"/>
        <w:tblW w:w="86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6"/>
        <w:gridCol w:w="1378"/>
        <w:gridCol w:w="1378"/>
        <w:gridCol w:w="1564"/>
        <w:gridCol w:w="1620"/>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6" w:hRule="atLeast"/>
        </w:trPr>
        <w:tc>
          <w:tcPr>
            <w:tcW w:w="1566" w:type="dxa"/>
            <w:vAlign w:val="center"/>
          </w:tcPr>
          <w:p>
            <w:pPr>
              <w:spacing w:line="500" w:lineRule="exact"/>
              <w:jc w:val="center"/>
              <w:rPr>
                <w:rFonts w:ascii="仿宋" w:hAnsi="仿宋" w:eastAsia="仿宋" w:cs="仿宋"/>
                <w:kern w:val="0"/>
                <w:sz w:val="32"/>
                <w:szCs w:val="32"/>
              </w:rPr>
            </w:pPr>
            <w:r>
              <w:rPr>
                <w:rFonts w:hint="eastAsia" w:ascii="仿宋" w:hAnsi="仿宋" w:eastAsia="仿宋" w:cs="仿宋"/>
                <w:kern w:val="0"/>
                <w:sz w:val="32"/>
                <w:szCs w:val="32"/>
              </w:rPr>
              <w:t>培训地点</w:t>
            </w:r>
          </w:p>
        </w:tc>
        <w:tc>
          <w:tcPr>
            <w:tcW w:w="1378" w:type="dxa"/>
            <w:vAlign w:val="center"/>
          </w:tcPr>
          <w:p>
            <w:pPr>
              <w:spacing w:line="500" w:lineRule="exact"/>
              <w:jc w:val="center"/>
              <w:rPr>
                <w:rFonts w:ascii="仿宋" w:hAnsi="仿宋" w:eastAsia="仿宋" w:cs="仿宋"/>
                <w:kern w:val="0"/>
                <w:sz w:val="32"/>
                <w:szCs w:val="32"/>
              </w:rPr>
            </w:pPr>
            <w:r>
              <w:rPr>
                <w:rFonts w:hint="eastAsia" w:ascii="仿宋" w:hAnsi="仿宋" w:eastAsia="仿宋" w:cs="仿宋"/>
                <w:kern w:val="0"/>
                <w:sz w:val="32"/>
                <w:szCs w:val="32"/>
              </w:rPr>
              <w:t>住宿费</w:t>
            </w:r>
          </w:p>
        </w:tc>
        <w:tc>
          <w:tcPr>
            <w:tcW w:w="1378" w:type="dxa"/>
            <w:vAlign w:val="center"/>
          </w:tcPr>
          <w:p>
            <w:pPr>
              <w:spacing w:line="500" w:lineRule="exact"/>
              <w:jc w:val="center"/>
              <w:rPr>
                <w:rFonts w:ascii="仿宋" w:hAnsi="仿宋" w:eastAsia="仿宋" w:cs="仿宋"/>
                <w:kern w:val="0"/>
                <w:sz w:val="32"/>
                <w:szCs w:val="32"/>
              </w:rPr>
            </w:pPr>
            <w:r>
              <w:rPr>
                <w:rFonts w:hint="eastAsia" w:ascii="仿宋" w:hAnsi="仿宋" w:eastAsia="仿宋" w:cs="仿宋"/>
                <w:kern w:val="0"/>
                <w:sz w:val="32"/>
                <w:szCs w:val="32"/>
              </w:rPr>
              <w:t>伙食费</w:t>
            </w:r>
          </w:p>
        </w:tc>
        <w:tc>
          <w:tcPr>
            <w:tcW w:w="1564" w:type="dxa"/>
            <w:vAlign w:val="center"/>
          </w:tcPr>
          <w:p>
            <w:pPr>
              <w:spacing w:line="500" w:lineRule="exact"/>
              <w:jc w:val="center"/>
              <w:rPr>
                <w:rFonts w:ascii="仿宋" w:hAnsi="仿宋" w:eastAsia="仿宋" w:cs="仿宋"/>
                <w:kern w:val="0"/>
                <w:sz w:val="32"/>
                <w:szCs w:val="32"/>
              </w:rPr>
            </w:pPr>
            <w:r>
              <w:rPr>
                <w:rFonts w:hint="eastAsia" w:ascii="仿宋" w:hAnsi="仿宋" w:eastAsia="仿宋" w:cs="仿宋"/>
                <w:kern w:val="0"/>
                <w:sz w:val="32"/>
                <w:szCs w:val="32"/>
              </w:rPr>
              <w:t>场地费和讲课费</w:t>
            </w:r>
          </w:p>
        </w:tc>
        <w:tc>
          <w:tcPr>
            <w:tcW w:w="1620" w:type="dxa"/>
            <w:vAlign w:val="center"/>
          </w:tcPr>
          <w:p>
            <w:pPr>
              <w:spacing w:line="500" w:lineRule="exact"/>
              <w:jc w:val="center"/>
              <w:rPr>
                <w:rFonts w:ascii="仿宋" w:hAnsi="仿宋" w:eastAsia="仿宋" w:cs="仿宋"/>
                <w:kern w:val="0"/>
                <w:sz w:val="32"/>
                <w:szCs w:val="32"/>
              </w:rPr>
            </w:pPr>
            <w:r>
              <w:rPr>
                <w:rFonts w:hint="eastAsia" w:ascii="仿宋" w:hAnsi="仿宋" w:eastAsia="仿宋" w:cs="仿宋"/>
                <w:kern w:val="0"/>
                <w:sz w:val="32"/>
                <w:szCs w:val="32"/>
              </w:rPr>
              <w:t>其他费用</w:t>
            </w:r>
          </w:p>
        </w:tc>
        <w:tc>
          <w:tcPr>
            <w:tcW w:w="1134" w:type="dxa"/>
            <w:vAlign w:val="center"/>
          </w:tcPr>
          <w:p>
            <w:pPr>
              <w:spacing w:line="500" w:lineRule="exact"/>
              <w:jc w:val="center"/>
              <w:rPr>
                <w:rFonts w:ascii="仿宋" w:hAnsi="仿宋" w:eastAsia="仿宋" w:cs="仿宋"/>
                <w:kern w:val="0"/>
                <w:sz w:val="32"/>
                <w:szCs w:val="32"/>
              </w:rPr>
            </w:pPr>
            <w:r>
              <w:rPr>
                <w:rFonts w:hint="eastAsia" w:ascii="仿宋" w:hAnsi="仿宋" w:eastAsia="仿宋" w:cs="仿宋"/>
                <w:kern w:val="0"/>
                <w:sz w:val="32"/>
                <w:szCs w:val="32"/>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566" w:type="dxa"/>
            <w:vAlign w:val="center"/>
          </w:tcPr>
          <w:p>
            <w:pPr>
              <w:jc w:val="center"/>
              <w:rPr>
                <w:rFonts w:ascii="仿宋" w:hAnsi="仿宋" w:eastAsia="仿宋" w:cs="仿宋"/>
                <w:kern w:val="0"/>
                <w:sz w:val="32"/>
                <w:szCs w:val="32"/>
              </w:rPr>
            </w:pPr>
            <w:r>
              <w:rPr>
                <w:rFonts w:hint="eastAsia" w:ascii="仿宋" w:hAnsi="仿宋" w:eastAsia="仿宋" w:cs="仿宋"/>
                <w:kern w:val="0"/>
                <w:sz w:val="32"/>
                <w:szCs w:val="32"/>
              </w:rPr>
              <w:t>省内</w:t>
            </w:r>
          </w:p>
        </w:tc>
        <w:tc>
          <w:tcPr>
            <w:tcW w:w="1378"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150</w:t>
            </w:r>
          </w:p>
        </w:tc>
        <w:tc>
          <w:tcPr>
            <w:tcW w:w="1378"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100</w:t>
            </w:r>
          </w:p>
        </w:tc>
        <w:tc>
          <w:tcPr>
            <w:tcW w:w="1564"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100</w:t>
            </w:r>
          </w:p>
        </w:tc>
        <w:tc>
          <w:tcPr>
            <w:tcW w:w="1620"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50</w:t>
            </w:r>
          </w:p>
        </w:tc>
        <w:tc>
          <w:tcPr>
            <w:tcW w:w="1134"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566" w:type="dxa"/>
            <w:vAlign w:val="center"/>
          </w:tcPr>
          <w:p>
            <w:pPr>
              <w:jc w:val="center"/>
              <w:rPr>
                <w:rFonts w:ascii="仿宋" w:hAnsi="仿宋" w:eastAsia="仿宋" w:cs="仿宋"/>
                <w:kern w:val="0"/>
                <w:sz w:val="32"/>
                <w:szCs w:val="32"/>
              </w:rPr>
            </w:pPr>
            <w:r>
              <w:rPr>
                <w:rFonts w:hint="eastAsia" w:ascii="仿宋" w:hAnsi="仿宋" w:eastAsia="仿宋" w:cs="仿宋"/>
                <w:kern w:val="0"/>
                <w:sz w:val="32"/>
                <w:szCs w:val="32"/>
              </w:rPr>
              <w:t>省外</w:t>
            </w:r>
          </w:p>
        </w:tc>
        <w:tc>
          <w:tcPr>
            <w:tcW w:w="1378"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180</w:t>
            </w:r>
          </w:p>
        </w:tc>
        <w:tc>
          <w:tcPr>
            <w:tcW w:w="1378"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110</w:t>
            </w:r>
          </w:p>
        </w:tc>
        <w:tc>
          <w:tcPr>
            <w:tcW w:w="1564"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100</w:t>
            </w:r>
          </w:p>
        </w:tc>
        <w:tc>
          <w:tcPr>
            <w:tcW w:w="1620"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60</w:t>
            </w:r>
          </w:p>
        </w:tc>
        <w:tc>
          <w:tcPr>
            <w:tcW w:w="1134" w:type="dxa"/>
            <w:vAlign w:val="center"/>
          </w:tcPr>
          <w:p>
            <w:pPr>
              <w:jc w:val="center"/>
              <w:rPr>
                <w:rFonts w:ascii="仿宋" w:hAnsi="仿宋" w:eastAsia="仿宋" w:cs="仿宋"/>
                <w:kern w:val="0"/>
                <w:sz w:val="32"/>
                <w:szCs w:val="32"/>
              </w:rPr>
            </w:pPr>
            <w:r>
              <w:rPr>
                <w:rFonts w:ascii="仿宋" w:hAnsi="仿宋" w:eastAsia="仿宋" w:cs="仿宋"/>
                <w:kern w:val="0"/>
                <w:sz w:val="32"/>
                <w:szCs w:val="32"/>
              </w:rPr>
              <w:t>450</w:t>
            </w:r>
          </w:p>
        </w:tc>
      </w:tr>
    </w:tbl>
    <w:p>
      <w:pPr>
        <w:ind w:firstLine="640" w:firstLineChars="200"/>
        <w:rPr>
          <w:rFonts w:ascii="仿宋" w:hAnsi="仿宋" w:eastAsia="仿宋" w:cs="仿宋"/>
          <w:sz w:val="32"/>
          <w:szCs w:val="32"/>
        </w:rPr>
      </w:pPr>
      <w:r>
        <w:rPr>
          <w:rFonts w:hint="eastAsia" w:ascii="仿宋" w:hAnsi="仿宋" w:eastAsia="仿宋" w:cs="仿宋"/>
          <w:sz w:val="32"/>
          <w:szCs w:val="32"/>
        </w:rPr>
        <w:t>各单位应在综合定额标准内结算报销。由培训单位或机构承担住宿费和伙食费的，只能报销在报到和结束当天的伙食补助、市内交通补助以及往返途中城区间的交通费。对于有定额而未发生的费用，报销时应按标准扣减。</w:t>
      </w:r>
    </w:p>
    <w:p>
      <w:pPr>
        <w:ind w:firstLine="640" w:firstLineChars="200"/>
        <w:rPr>
          <w:rFonts w:ascii="仿宋" w:hAnsi="仿宋" w:eastAsia="仿宋" w:cs="仿宋"/>
          <w:sz w:val="32"/>
          <w:szCs w:val="32"/>
        </w:rPr>
      </w:pPr>
      <w:r>
        <w:rPr>
          <w:rFonts w:hint="eastAsia" w:ascii="仿宋" w:hAnsi="仿宋" w:eastAsia="仿宋" w:cs="仿宋"/>
          <w:sz w:val="32"/>
          <w:szCs w:val="32"/>
        </w:rPr>
        <w:t>（十二）参加会议方或参加培训方的费用按差旅费标准报帐列入差旅费；组织会议、培训方按会议费、培训费规定计算列入会议费、培训费。</w:t>
      </w:r>
    </w:p>
    <w:p>
      <w:pPr>
        <w:ind w:firstLine="640" w:firstLineChars="200"/>
        <w:rPr>
          <w:rFonts w:ascii="仿宋" w:hAnsi="仿宋" w:eastAsia="仿宋" w:cs="仿宋"/>
          <w:sz w:val="32"/>
          <w:szCs w:val="32"/>
        </w:rPr>
      </w:pPr>
      <w:r>
        <w:rPr>
          <w:rFonts w:hint="eastAsia" w:ascii="仿宋" w:hAnsi="仿宋" w:eastAsia="仿宋" w:cs="仿宋"/>
          <w:sz w:val="32"/>
          <w:szCs w:val="32"/>
        </w:rPr>
        <w:t>（十三）差旅费按《君山区行政事业单位差旅费管理办法》执行</w:t>
      </w:r>
      <w:r>
        <w:rPr>
          <w:rFonts w:ascii="仿宋" w:hAnsi="仿宋" w:eastAsia="仿宋" w:cs="仿宋"/>
          <w:sz w:val="32"/>
          <w:szCs w:val="32"/>
        </w:rPr>
        <w:t>(</w:t>
      </w:r>
      <w:r>
        <w:rPr>
          <w:rFonts w:hint="eastAsia" w:ascii="仿宋" w:hAnsi="仿宋" w:eastAsia="仿宋" w:cs="仿宋"/>
          <w:sz w:val="32"/>
          <w:szCs w:val="32"/>
        </w:rPr>
        <w:t>申请表见附表</w:t>
      </w:r>
      <w:r>
        <w:rPr>
          <w:rFonts w:ascii="仿宋" w:hAnsi="仿宋" w:eastAsia="仿宋" w:cs="仿宋"/>
          <w:sz w:val="32"/>
          <w:szCs w:val="32"/>
        </w:rPr>
        <w:t>4</w:t>
      </w:r>
      <w:r>
        <w:rPr>
          <w:rFonts w:hint="eastAsia" w:ascii="仿宋" w:hAnsi="仿宋" w:eastAsia="仿宋" w:cs="仿宋"/>
          <w:sz w:val="32"/>
          <w:szCs w:val="32"/>
        </w:rPr>
        <w:t>，连同附表</w:t>
      </w:r>
      <w:r>
        <w:rPr>
          <w:rFonts w:ascii="仿宋" w:hAnsi="仿宋" w:eastAsia="仿宋" w:cs="仿宋"/>
          <w:sz w:val="32"/>
          <w:szCs w:val="32"/>
        </w:rPr>
        <w:t>3</w:t>
      </w:r>
      <w:r>
        <w:rPr>
          <w:rFonts w:hint="eastAsia" w:ascii="仿宋" w:hAnsi="仿宋" w:eastAsia="仿宋" w:cs="仿宋"/>
          <w:sz w:val="32"/>
          <w:szCs w:val="32"/>
        </w:rPr>
        <w:t>和附表</w:t>
      </w:r>
      <w:r>
        <w:rPr>
          <w:rFonts w:ascii="仿宋" w:hAnsi="仿宋" w:eastAsia="仿宋" w:cs="仿宋"/>
          <w:sz w:val="32"/>
          <w:szCs w:val="32"/>
        </w:rPr>
        <w:t>5</w:t>
      </w:r>
      <w:r>
        <w:rPr>
          <w:rFonts w:hint="eastAsia" w:ascii="仿宋" w:hAnsi="仿宋" w:eastAsia="仿宋" w:cs="仿宋"/>
          <w:sz w:val="32"/>
          <w:szCs w:val="32"/>
        </w:rPr>
        <w:t>作为报帐时的附件</w:t>
      </w:r>
      <w:r>
        <w:rPr>
          <w:rFonts w:ascii="仿宋" w:hAnsi="仿宋" w:eastAsia="仿宋" w:cs="仿宋"/>
          <w:sz w:val="32"/>
          <w:szCs w:val="32"/>
        </w:rPr>
        <w:t>)</w:t>
      </w:r>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、城区间交通费，其中：（</w:t>
      </w:r>
      <w:r>
        <w:rPr>
          <w:rFonts w:ascii="仿宋" w:hAnsi="仿宋" w:eastAsia="仿宋" w:cs="仿宋"/>
          <w:sz w:val="32"/>
          <w:szCs w:val="32"/>
        </w:rPr>
        <w:t>1</w:t>
      </w:r>
      <w:r>
        <w:rPr>
          <w:rFonts w:hint="eastAsia" w:ascii="仿宋" w:hAnsi="仿宋" w:eastAsia="仿宋" w:cs="仿宋"/>
          <w:sz w:val="32"/>
          <w:szCs w:val="32"/>
        </w:rPr>
        <w:t>）城区间交通费是指工作人员因公到君山区以外地区出差乘坐火车、轮船、飞机等交通工具所发生的费用。</w:t>
      </w:r>
      <w:r>
        <w:rPr>
          <w:rFonts w:ascii="仿宋" w:hAnsi="仿宋" w:eastAsia="仿宋" w:cs="仿宋"/>
          <w:sz w:val="32"/>
          <w:szCs w:val="32"/>
        </w:rPr>
        <w:t>(2)</w:t>
      </w:r>
      <w:r>
        <w:rPr>
          <w:rFonts w:hint="eastAsia" w:ascii="仿宋" w:hAnsi="仿宋" w:eastAsia="仿宋" w:cs="仿宋"/>
          <w:sz w:val="32"/>
          <w:szCs w:val="32"/>
        </w:rPr>
        <w:t>出差人员应当按规定乘坐交通工具：</w:t>
      </w:r>
    </w:p>
    <w:tbl>
      <w:tblPr>
        <w:tblStyle w:val="5"/>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2405"/>
        <w:gridCol w:w="1620"/>
        <w:gridCol w:w="1157"/>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7" w:hRule="atLeast"/>
        </w:trPr>
        <w:tc>
          <w:tcPr>
            <w:tcW w:w="1843" w:type="dxa"/>
            <w:tcBorders>
              <w:tl2br w:val="single" w:color="auto" w:sz="4" w:space="0"/>
            </w:tcBorders>
            <w:vAlign w:val="center"/>
          </w:tcPr>
          <w:p>
            <w:pPr>
              <w:tabs>
                <w:tab w:val="left" w:pos="1170"/>
              </w:tabs>
              <w:spacing w:line="400" w:lineRule="exact"/>
              <w:jc w:val="right"/>
              <w:rPr>
                <w:rFonts w:ascii="仿宋" w:hAnsi="仿宋" w:eastAsia="仿宋" w:cs="仿宋"/>
                <w:sz w:val="32"/>
                <w:szCs w:val="32"/>
              </w:rPr>
            </w:pPr>
            <w:r>
              <w:rPr>
                <w:rFonts w:hint="eastAsia" w:ascii="仿宋" w:hAnsi="仿宋" w:eastAsia="仿宋" w:cs="仿宋"/>
                <w:sz w:val="32"/>
                <w:szCs w:val="32"/>
              </w:rPr>
              <w:t>交通工具</w:t>
            </w:r>
          </w:p>
          <w:p>
            <w:pPr>
              <w:tabs>
                <w:tab w:val="left" w:pos="1170"/>
              </w:tabs>
              <w:spacing w:line="400" w:lineRule="exact"/>
              <w:jc w:val="center"/>
              <w:rPr>
                <w:rFonts w:ascii="仿宋" w:hAnsi="仿宋" w:eastAsia="仿宋" w:cs="仿宋"/>
                <w:sz w:val="32"/>
                <w:szCs w:val="32"/>
              </w:rPr>
            </w:pPr>
          </w:p>
          <w:p>
            <w:pPr>
              <w:spacing w:line="400" w:lineRule="exact"/>
              <w:rPr>
                <w:rFonts w:ascii="仿宋" w:hAnsi="仿宋" w:eastAsia="仿宋" w:cs="仿宋"/>
                <w:sz w:val="32"/>
                <w:szCs w:val="32"/>
              </w:rPr>
            </w:pPr>
            <w:r>
              <w:rPr>
                <w:rFonts w:hint="eastAsia" w:ascii="仿宋" w:hAnsi="仿宋" w:eastAsia="仿宋" w:cs="仿宋"/>
                <w:sz w:val="32"/>
                <w:szCs w:val="32"/>
              </w:rPr>
              <w:t>级别</w:t>
            </w:r>
          </w:p>
        </w:tc>
        <w:tc>
          <w:tcPr>
            <w:tcW w:w="2405" w:type="dxa"/>
            <w:vAlign w:val="center"/>
          </w:tcPr>
          <w:p>
            <w:pPr>
              <w:pStyle w:val="7"/>
              <w:spacing w:line="400" w:lineRule="exact"/>
              <w:ind w:firstLine="0" w:firstLineChars="0"/>
              <w:jc w:val="center"/>
              <w:rPr>
                <w:rFonts w:ascii="仿宋" w:hAnsi="仿宋" w:eastAsia="仿宋" w:cs="仿宋"/>
                <w:sz w:val="32"/>
                <w:szCs w:val="32"/>
              </w:rPr>
            </w:pPr>
            <w:r>
              <w:rPr>
                <w:rFonts w:hint="eastAsia" w:ascii="仿宋" w:hAnsi="仿宋" w:eastAsia="仿宋" w:cs="仿宋"/>
                <w:sz w:val="32"/>
                <w:szCs w:val="32"/>
              </w:rPr>
              <w:t>火车（含高铁、动车、全列软席列车）</w:t>
            </w:r>
          </w:p>
        </w:tc>
        <w:tc>
          <w:tcPr>
            <w:tcW w:w="1620" w:type="dxa"/>
            <w:vAlign w:val="center"/>
          </w:tcPr>
          <w:p>
            <w:pPr>
              <w:pStyle w:val="7"/>
              <w:spacing w:line="400" w:lineRule="exact"/>
              <w:ind w:firstLine="0" w:firstLineChars="0"/>
              <w:rPr>
                <w:rFonts w:ascii="仿宋" w:hAnsi="仿宋" w:eastAsia="仿宋" w:cs="仿宋"/>
                <w:sz w:val="32"/>
                <w:szCs w:val="32"/>
              </w:rPr>
            </w:pPr>
            <w:r>
              <w:rPr>
                <w:rFonts w:hint="eastAsia" w:ascii="仿宋" w:hAnsi="仿宋" w:eastAsia="仿宋" w:cs="仿宋"/>
                <w:sz w:val="32"/>
                <w:szCs w:val="32"/>
              </w:rPr>
              <w:t>轮、船（不包括旅游船）</w:t>
            </w:r>
          </w:p>
        </w:tc>
        <w:tc>
          <w:tcPr>
            <w:tcW w:w="1157" w:type="dxa"/>
            <w:vAlign w:val="center"/>
          </w:tcPr>
          <w:p>
            <w:pPr>
              <w:spacing w:line="400" w:lineRule="exact"/>
              <w:rPr>
                <w:rFonts w:ascii="仿宋" w:hAnsi="仿宋" w:eastAsia="仿宋" w:cs="仿宋"/>
                <w:sz w:val="32"/>
                <w:szCs w:val="32"/>
              </w:rPr>
            </w:pPr>
            <w:r>
              <w:rPr>
                <w:rFonts w:hint="eastAsia" w:ascii="仿宋" w:hAnsi="仿宋" w:eastAsia="仿宋" w:cs="仿宋"/>
                <w:sz w:val="32"/>
                <w:szCs w:val="32"/>
              </w:rPr>
              <w:t>飞机</w:t>
            </w:r>
          </w:p>
        </w:tc>
        <w:tc>
          <w:tcPr>
            <w:tcW w:w="2083" w:type="dxa"/>
            <w:vAlign w:val="center"/>
          </w:tcPr>
          <w:p>
            <w:pPr>
              <w:spacing w:line="400" w:lineRule="exact"/>
              <w:jc w:val="center"/>
              <w:rPr>
                <w:rFonts w:ascii="仿宋" w:hAnsi="仿宋" w:eastAsia="仿宋" w:cs="仿宋"/>
                <w:sz w:val="32"/>
                <w:szCs w:val="32"/>
              </w:rPr>
            </w:pPr>
            <w:r>
              <w:rPr>
                <w:rFonts w:hint="eastAsia" w:ascii="仿宋" w:hAnsi="仿宋" w:eastAsia="仿宋" w:cs="仿宋"/>
                <w:sz w:val="32"/>
                <w:szCs w:val="32"/>
              </w:rPr>
              <w:t>其他交通工具（不包括出租小汽车）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6" w:hRule="atLeast"/>
        </w:trPr>
        <w:tc>
          <w:tcPr>
            <w:tcW w:w="1843" w:type="dxa"/>
            <w:vAlign w:val="center"/>
          </w:tcPr>
          <w:p>
            <w:pPr>
              <w:pStyle w:val="7"/>
              <w:spacing w:line="400" w:lineRule="exact"/>
              <w:ind w:firstLine="0" w:firstLineChars="0"/>
              <w:jc w:val="center"/>
              <w:rPr>
                <w:rFonts w:ascii="仿宋" w:hAnsi="仿宋" w:eastAsia="仿宋" w:cs="仿宋"/>
                <w:sz w:val="32"/>
                <w:szCs w:val="32"/>
              </w:rPr>
            </w:pPr>
            <w:r>
              <w:rPr>
                <w:rFonts w:hint="eastAsia" w:ascii="仿宋" w:hAnsi="仿宋" w:eastAsia="仿宋" w:cs="仿宋"/>
                <w:sz w:val="32"/>
                <w:szCs w:val="32"/>
              </w:rPr>
              <w:t>县处级及以下人员</w:t>
            </w:r>
          </w:p>
        </w:tc>
        <w:tc>
          <w:tcPr>
            <w:tcW w:w="2405" w:type="dxa"/>
            <w:vAlign w:val="center"/>
          </w:tcPr>
          <w:p>
            <w:pPr>
              <w:spacing w:line="400" w:lineRule="exact"/>
              <w:jc w:val="left"/>
              <w:rPr>
                <w:rFonts w:ascii="仿宋" w:hAnsi="仿宋" w:eastAsia="仿宋" w:cs="仿宋"/>
                <w:spacing w:val="-8"/>
                <w:sz w:val="32"/>
                <w:szCs w:val="32"/>
              </w:rPr>
            </w:pPr>
            <w:r>
              <w:rPr>
                <w:rFonts w:hint="eastAsia" w:ascii="仿宋" w:hAnsi="仿宋" w:eastAsia="仿宋" w:cs="仿宋"/>
                <w:spacing w:val="-8"/>
                <w:sz w:val="32"/>
                <w:szCs w:val="32"/>
              </w:rPr>
              <w:t>火车硬座（硬座、硬卧），高铁</w:t>
            </w:r>
            <w:r>
              <w:rPr>
                <w:rFonts w:ascii="仿宋" w:hAnsi="仿宋" w:eastAsia="仿宋" w:cs="仿宋"/>
                <w:spacing w:val="-8"/>
                <w:sz w:val="32"/>
                <w:szCs w:val="32"/>
              </w:rPr>
              <w:t>/</w:t>
            </w:r>
            <w:r>
              <w:rPr>
                <w:rFonts w:hint="eastAsia" w:ascii="仿宋" w:hAnsi="仿宋" w:eastAsia="仿宋" w:cs="仿宋"/>
                <w:spacing w:val="-8"/>
                <w:sz w:val="32"/>
                <w:szCs w:val="32"/>
              </w:rPr>
              <w:t>动车（二等座）、全列软席列车（二等软座）</w:t>
            </w:r>
          </w:p>
        </w:tc>
        <w:tc>
          <w:tcPr>
            <w:tcW w:w="1620" w:type="dxa"/>
            <w:vAlign w:val="center"/>
          </w:tcPr>
          <w:p>
            <w:pPr>
              <w:spacing w:line="400" w:lineRule="exact"/>
              <w:ind w:firstLine="320" w:firstLineChars="100"/>
              <w:rPr>
                <w:rFonts w:ascii="仿宋" w:hAnsi="仿宋" w:eastAsia="仿宋" w:cs="仿宋"/>
                <w:sz w:val="32"/>
                <w:szCs w:val="32"/>
              </w:rPr>
            </w:pPr>
            <w:r>
              <w:rPr>
                <w:rFonts w:hint="eastAsia" w:ascii="仿宋" w:hAnsi="仿宋" w:eastAsia="仿宋" w:cs="仿宋"/>
                <w:sz w:val="32"/>
                <w:szCs w:val="32"/>
              </w:rPr>
              <w:t>三等舱</w:t>
            </w:r>
          </w:p>
        </w:tc>
        <w:tc>
          <w:tcPr>
            <w:tcW w:w="1157" w:type="dxa"/>
            <w:vAlign w:val="center"/>
          </w:tcPr>
          <w:p>
            <w:pPr>
              <w:spacing w:line="400" w:lineRule="exact"/>
              <w:jc w:val="center"/>
              <w:rPr>
                <w:rFonts w:ascii="仿宋" w:hAnsi="仿宋" w:eastAsia="仿宋" w:cs="仿宋"/>
                <w:sz w:val="32"/>
                <w:szCs w:val="32"/>
              </w:rPr>
            </w:pPr>
            <w:r>
              <w:rPr>
                <w:rFonts w:hint="eastAsia" w:ascii="仿宋" w:hAnsi="仿宋" w:eastAsia="仿宋" w:cs="仿宋"/>
                <w:sz w:val="32"/>
                <w:szCs w:val="32"/>
              </w:rPr>
              <w:t>经济舱</w:t>
            </w:r>
          </w:p>
        </w:tc>
        <w:tc>
          <w:tcPr>
            <w:tcW w:w="2083" w:type="dxa"/>
            <w:vAlign w:val="center"/>
          </w:tcPr>
          <w:p>
            <w:pPr>
              <w:spacing w:line="400" w:lineRule="exact"/>
              <w:ind w:firstLine="320" w:firstLineChars="100"/>
              <w:jc w:val="center"/>
              <w:rPr>
                <w:rFonts w:ascii="仿宋" w:hAnsi="仿宋" w:eastAsia="仿宋" w:cs="仿宋"/>
                <w:sz w:val="32"/>
                <w:szCs w:val="32"/>
              </w:rPr>
            </w:pPr>
            <w:r>
              <w:rPr>
                <w:rFonts w:hint="eastAsia" w:ascii="仿宋" w:hAnsi="仿宋" w:eastAsia="仿宋" w:cs="仿宋"/>
                <w:sz w:val="32"/>
                <w:szCs w:val="32"/>
              </w:rPr>
              <w:t>凭据报销</w:t>
            </w:r>
          </w:p>
        </w:tc>
      </w:tr>
    </w:tbl>
    <w:p>
      <w:pPr>
        <w:spacing w:line="600" w:lineRule="exact"/>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、住宿费：工作人员到省外出差执行分地区、分级别住宿限额标准（见附表</w:t>
      </w:r>
      <w:r>
        <w:rPr>
          <w:rFonts w:ascii="仿宋" w:hAnsi="仿宋" w:eastAsia="仿宋" w:cs="仿宋"/>
          <w:sz w:val="32"/>
          <w:szCs w:val="32"/>
        </w:rPr>
        <w:t>1</w:t>
      </w:r>
      <w:r>
        <w:rPr>
          <w:rFonts w:hint="eastAsia" w:ascii="仿宋" w:hAnsi="仿宋" w:eastAsia="仿宋" w:cs="仿宋"/>
          <w:sz w:val="32"/>
          <w:szCs w:val="32"/>
        </w:rPr>
        <w:t>）。在省内其他市州及岳阳市内其他县市（不含岳阳楼区、云溪区）出差，按</w:t>
      </w:r>
      <w:r>
        <w:rPr>
          <w:rFonts w:ascii="仿宋" w:hAnsi="仿宋" w:eastAsia="仿宋" w:cs="仿宋"/>
          <w:sz w:val="32"/>
          <w:szCs w:val="32"/>
        </w:rPr>
        <w:t>330</w:t>
      </w:r>
      <w:r>
        <w:rPr>
          <w:rFonts w:hint="eastAsia" w:ascii="仿宋" w:hAnsi="仿宋" w:eastAsia="仿宋" w:cs="仿宋"/>
          <w:sz w:val="32"/>
          <w:szCs w:val="32"/>
        </w:rPr>
        <w:t>元标准限额执行，出差人应当在住宿标准限额内，选择安全、经济、便捷的宾馆住宿。</w:t>
      </w:r>
    </w:p>
    <w:p>
      <w:pPr>
        <w:spacing w:line="600" w:lineRule="exact"/>
        <w:ind w:firstLine="640" w:firstLineChars="200"/>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、伙食补助费：伙食补助费按出差自然（日历）天数包干补助。省外出差，执行分地区伙食补助标准（见附表</w:t>
      </w:r>
      <w:r>
        <w:rPr>
          <w:rFonts w:ascii="仿宋" w:hAnsi="仿宋" w:eastAsia="仿宋" w:cs="仿宋"/>
          <w:sz w:val="32"/>
          <w:szCs w:val="32"/>
        </w:rPr>
        <w:t>1</w:t>
      </w:r>
      <w:r>
        <w:rPr>
          <w:rFonts w:hint="eastAsia" w:ascii="仿宋" w:hAnsi="仿宋" w:eastAsia="仿宋" w:cs="仿宋"/>
          <w:sz w:val="32"/>
          <w:szCs w:val="32"/>
        </w:rPr>
        <w:t>）；省内出差（不含岳阳楼区、云溪区），补助标准为每人每天</w:t>
      </w:r>
      <w:r>
        <w:rPr>
          <w:rFonts w:ascii="仿宋" w:hAnsi="仿宋" w:eastAsia="仿宋" w:cs="仿宋"/>
          <w:sz w:val="32"/>
          <w:szCs w:val="32"/>
        </w:rPr>
        <w:t>100</w:t>
      </w:r>
      <w:r>
        <w:rPr>
          <w:rFonts w:hint="eastAsia" w:ascii="仿宋" w:hAnsi="仿宋" w:eastAsia="仿宋" w:cs="仿宋"/>
          <w:sz w:val="32"/>
          <w:szCs w:val="32"/>
        </w:rPr>
        <w:t>元。因公出差交纳伙食费标准：按照早餐</w:t>
      </w:r>
      <w:r>
        <w:rPr>
          <w:rFonts w:ascii="仿宋" w:hAnsi="仿宋" w:eastAsia="仿宋" w:cs="仿宋"/>
          <w:sz w:val="32"/>
          <w:szCs w:val="32"/>
        </w:rPr>
        <w:t>20</w:t>
      </w:r>
      <w:r>
        <w:rPr>
          <w:rFonts w:hint="eastAsia" w:ascii="仿宋" w:hAnsi="仿宋" w:eastAsia="仿宋" w:cs="仿宋"/>
          <w:sz w:val="32"/>
          <w:szCs w:val="32"/>
        </w:rPr>
        <w:t>元</w:t>
      </w:r>
      <w:r>
        <w:rPr>
          <w:rFonts w:ascii="仿宋" w:hAnsi="仿宋" w:eastAsia="仿宋" w:cs="仿宋"/>
          <w:sz w:val="32"/>
          <w:szCs w:val="32"/>
        </w:rPr>
        <w:t>/</w:t>
      </w:r>
      <w:r>
        <w:rPr>
          <w:rFonts w:hint="eastAsia" w:ascii="仿宋" w:hAnsi="仿宋" w:eastAsia="仿宋" w:cs="仿宋"/>
          <w:sz w:val="32"/>
          <w:szCs w:val="32"/>
        </w:rPr>
        <w:t>人，中、晚餐</w:t>
      </w:r>
      <w:r>
        <w:rPr>
          <w:rFonts w:ascii="仿宋" w:hAnsi="仿宋" w:eastAsia="仿宋" w:cs="仿宋"/>
          <w:sz w:val="32"/>
          <w:szCs w:val="32"/>
        </w:rPr>
        <w:t>40</w:t>
      </w:r>
      <w:r>
        <w:rPr>
          <w:rFonts w:hint="eastAsia" w:ascii="仿宋" w:hAnsi="仿宋" w:eastAsia="仿宋" w:cs="仿宋"/>
          <w:sz w:val="32"/>
          <w:szCs w:val="32"/>
        </w:rPr>
        <w:t>元</w:t>
      </w:r>
      <w:r>
        <w:rPr>
          <w:rFonts w:ascii="仿宋" w:hAnsi="仿宋" w:eastAsia="仿宋" w:cs="仿宋"/>
          <w:sz w:val="32"/>
          <w:szCs w:val="32"/>
        </w:rPr>
        <w:t>/</w:t>
      </w:r>
      <w:r>
        <w:rPr>
          <w:rFonts w:hint="eastAsia" w:ascii="仿宋" w:hAnsi="仿宋" w:eastAsia="仿宋" w:cs="仿宋"/>
          <w:sz w:val="32"/>
          <w:szCs w:val="32"/>
        </w:rPr>
        <w:t>人的标准。</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在接待单位用餐</w:t>
      </w:r>
      <w:r>
        <w:rPr>
          <w:rFonts w:ascii="仿宋" w:hAnsi="仿宋" w:eastAsia="仿宋" w:cs="仿宋"/>
          <w:sz w:val="32"/>
          <w:szCs w:val="32"/>
        </w:rPr>
        <w:t>(</w:t>
      </w:r>
      <w:r>
        <w:rPr>
          <w:rFonts w:hint="eastAsia" w:ascii="仿宋" w:hAnsi="仿宋" w:eastAsia="仿宋" w:cs="仿宋"/>
          <w:sz w:val="32"/>
          <w:szCs w:val="32"/>
        </w:rPr>
        <w:t>并安排住宿)的应按当地标准向接待单位交纳伙食费(住宿费)，并由接待单位财务部门开具收据(招待一餐除外)，作为报销时的依据。</w:t>
      </w:r>
    </w:p>
    <w:p>
      <w:pPr>
        <w:spacing w:line="600" w:lineRule="exact"/>
        <w:ind w:firstLine="640" w:firstLineChars="200"/>
        <w:rPr>
          <w:rFonts w:ascii="仿宋" w:hAnsi="仿宋" w:eastAsia="仿宋" w:cs="仿宋"/>
          <w:sz w:val="32"/>
          <w:szCs w:val="32"/>
        </w:rPr>
      </w:pPr>
      <w:r>
        <w:rPr>
          <w:rFonts w:ascii="仿宋" w:hAnsi="仿宋" w:eastAsia="仿宋" w:cs="仿宋"/>
          <w:sz w:val="32"/>
          <w:szCs w:val="32"/>
        </w:rPr>
        <w:t>4</w:t>
      </w:r>
      <w:r>
        <w:rPr>
          <w:rFonts w:hint="eastAsia" w:ascii="仿宋" w:hAnsi="仿宋" w:eastAsia="仿宋" w:cs="仿宋"/>
          <w:sz w:val="32"/>
          <w:szCs w:val="32"/>
        </w:rPr>
        <w:t>、市内交通费：其中：（</w:t>
      </w:r>
      <w:r>
        <w:rPr>
          <w:rFonts w:ascii="仿宋" w:hAnsi="仿宋" w:eastAsia="仿宋" w:cs="仿宋"/>
          <w:sz w:val="32"/>
          <w:szCs w:val="32"/>
        </w:rPr>
        <w:t>1</w:t>
      </w:r>
      <w:r>
        <w:rPr>
          <w:rFonts w:hint="eastAsia" w:ascii="仿宋" w:hAnsi="仿宋" w:eastAsia="仿宋" w:cs="仿宋"/>
          <w:sz w:val="32"/>
          <w:szCs w:val="32"/>
        </w:rPr>
        <w:t>）市内交通费按出差自然（日历）天数包干补助，补助标准为每人每天</w:t>
      </w:r>
      <w:r>
        <w:rPr>
          <w:rFonts w:ascii="仿宋" w:hAnsi="仿宋" w:eastAsia="仿宋" w:cs="仿宋"/>
          <w:sz w:val="32"/>
          <w:szCs w:val="32"/>
        </w:rPr>
        <w:t>80</w:t>
      </w:r>
      <w:r>
        <w:rPr>
          <w:rFonts w:hint="eastAsia" w:ascii="仿宋" w:hAnsi="仿宋" w:eastAsia="仿宋" w:cs="仿宋"/>
          <w:sz w:val="32"/>
          <w:szCs w:val="32"/>
        </w:rPr>
        <w:t>元（不含岳阳楼区、云溪区）。（</w:t>
      </w:r>
      <w:r>
        <w:rPr>
          <w:rFonts w:ascii="仿宋" w:hAnsi="仿宋" w:eastAsia="仿宋" w:cs="仿宋"/>
          <w:sz w:val="32"/>
          <w:szCs w:val="32"/>
        </w:rPr>
        <w:t>2</w:t>
      </w:r>
      <w:r>
        <w:rPr>
          <w:rFonts w:hint="eastAsia" w:ascii="仿宋" w:hAnsi="仿宋" w:eastAsia="仿宋" w:cs="仿宋"/>
          <w:sz w:val="32"/>
          <w:szCs w:val="32"/>
        </w:rPr>
        <w:t>）出差人员自带交通工具的，应在差旅费报销单据中如实申报，不予补助市内交通费。由接待单位或其他单位提供交通工具的，应按规定标准向接待单位或其他单位交纳相关费用。（</w:t>
      </w:r>
      <w:r>
        <w:rPr>
          <w:rFonts w:ascii="仿宋" w:hAnsi="仿宋" w:eastAsia="仿宋" w:cs="仿宋"/>
          <w:sz w:val="32"/>
          <w:szCs w:val="32"/>
        </w:rPr>
        <w:t>3</w:t>
      </w:r>
      <w:r>
        <w:rPr>
          <w:rFonts w:hint="eastAsia" w:ascii="仿宋" w:hAnsi="仿宋" w:eastAsia="仿宋" w:cs="仿宋"/>
          <w:sz w:val="32"/>
          <w:szCs w:val="32"/>
        </w:rPr>
        <w:t>）区内交通费执行分地区补助标准（见附表</w:t>
      </w:r>
      <w:r>
        <w:rPr>
          <w:rFonts w:ascii="仿宋" w:hAnsi="仿宋" w:eastAsia="仿宋" w:cs="仿宋"/>
          <w:sz w:val="32"/>
          <w:szCs w:val="32"/>
        </w:rPr>
        <w:t>2</w:t>
      </w:r>
      <w:r>
        <w:rPr>
          <w:rFonts w:hint="eastAsia" w:ascii="仿宋" w:hAnsi="仿宋" w:eastAsia="仿宋" w:cs="仿宋"/>
          <w:sz w:val="32"/>
          <w:szCs w:val="32"/>
        </w:rPr>
        <w:t>）</w:t>
      </w:r>
    </w:p>
    <w:p>
      <w:pPr>
        <w:spacing w:line="600" w:lineRule="exact"/>
        <w:ind w:firstLine="640" w:firstLineChars="200"/>
        <w:rPr>
          <w:rFonts w:ascii="??_GB2312" w:eastAsia="Times New Roman"/>
          <w:sz w:val="30"/>
          <w:szCs w:val="30"/>
        </w:rPr>
      </w:pPr>
      <w:r>
        <w:rPr>
          <w:rFonts w:ascii="仿宋" w:hAnsi="仿宋" w:eastAsia="仿宋" w:cs="仿宋"/>
          <w:sz w:val="32"/>
          <w:szCs w:val="32"/>
        </w:rPr>
        <w:t>5</w:t>
      </w:r>
      <w:r>
        <w:rPr>
          <w:rFonts w:hint="eastAsia" w:ascii="仿宋" w:hAnsi="仿宋" w:eastAsia="仿宋" w:cs="仿宋"/>
          <w:sz w:val="32"/>
          <w:szCs w:val="32"/>
        </w:rPr>
        <w:t>、报销管理：工作人员到岳阳市范围</w:t>
      </w:r>
      <w:r>
        <w:rPr>
          <w:rFonts w:ascii="仿宋" w:hAnsi="仿宋" w:eastAsia="仿宋" w:cs="仿宋"/>
          <w:sz w:val="32"/>
          <w:szCs w:val="32"/>
        </w:rPr>
        <w:t>(</w:t>
      </w:r>
      <w:r>
        <w:rPr>
          <w:rFonts w:hint="eastAsia" w:ascii="仿宋" w:hAnsi="仿宋" w:eastAsia="仿宋" w:cs="仿宋"/>
          <w:sz w:val="32"/>
          <w:szCs w:val="32"/>
        </w:rPr>
        <w:t>含各县市区</w:t>
      </w:r>
      <w:r>
        <w:rPr>
          <w:rFonts w:ascii="仿宋" w:hAnsi="仿宋" w:eastAsia="仿宋" w:cs="仿宋"/>
          <w:sz w:val="32"/>
          <w:szCs w:val="32"/>
        </w:rPr>
        <w:t>)</w:t>
      </w:r>
      <w:r>
        <w:rPr>
          <w:rFonts w:hint="eastAsia" w:ascii="仿宋" w:hAnsi="仿宋" w:eastAsia="仿宋" w:cs="仿宋"/>
          <w:sz w:val="32"/>
          <w:szCs w:val="32"/>
        </w:rPr>
        <w:t>内开展公务活动，按有关差旅费规定执行，原则上不允许租车，确需租车的应事先向单位分管领导报批方能报销（租用车辆原则上只能选择区公务用车平台管理中心，如果中心没有适合的车型或没有车辆调配的情况下，经单位行政一把手及公务用车部门批准，一事一批，可适当选择租用社会车辆，租车后不得享受交通费补助）</w:t>
      </w:r>
      <w:r>
        <w:rPr>
          <w:rFonts w:ascii="仿宋" w:hAnsi="仿宋" w:eastAsia="仿宋" w:cs="仿宋"/>
          <w:sz w:val="32"/>
          <w:szCs w:val="32"/>
        </w:rPr>
        <w:t>(</w:t>
      </w:r>
      <w:r>
        <w:rPr>
          <w:rFonts w:hint="eastAsia" w:ascii="仿宋" w:hAnsi="仿宋" w:eastAsia="仿宋" w:cs="仿宋"/>
          <w:sz w:val="32"/>
          <w:szCs w:val="32"/>
        </w:rPr>
        <w:t>租用社会车辆申报表见附表</w:t>
      </w:r>
      <w:r>
        <w:rPr>
          <w:rFonts w:ascii="仿宋" w:hAnsi="仿宋" w:eastAsia="仿宋" w:cs="仿宋"/>
          <w:sz w:val="32"/>
          <w:szCs w:val="32"/>
        </w:rPr>
        <w:t>5)</w:t>
      </w:r>
      <w:r>
        <w:rPr>
          <w:rFonts w:hint="eastAsia" w:ascii="仿宋" w:hAnsi="仿宋" w:eastAsia="仿宋" w:cs="仿宋"/>
          <w:sz w:val="32"/>
          <w:szCs w:val="32"/>
        </w:rPr>
        <w:t>。到岳阳楼区、云溪区的市内交通费在规定限额标准内（不超过每人每天</w:t>
      </w:r>
      <w:r>
        <w:rPr>
          <w:rFonts w:ascii="仿宋" w:hAnsi="仿宋" w:eastAsia="仿宋" w:cs="仿宋"/>
          <w:sz w:val="32"/>
          <w:szCs w:val="32"/>
        </w:rPr>
        <w:t>80</w:t>
      </w:r>
      <w:r>
        <w:rPr>
          <w:rFonts w:hint="eastAsia" w:ascii="仿宋" w:hAnsi="仿宋" w:eastAsia="仿宋" w:cs="仿宋"/>
          <w:sz w:val="32"/>
          <w:szCs w:val="32"/>
        </w:rPr>
        <w:t>元）凭据报销（不含的士票），考虑到目前自带交通工具的情况，经分管领导同意后可以按</w:t>
      </w:r>
      <w:r>
        <w:rPr>
          <w:rFonts w:ascii="仿宋" w:hAnsi="仿宋" w:eastAsia="仿宋" w:cs="仿宋"/>
          <w:sz w:val="32"/>
          <w:szCs w:val="32"/>
        </w:rPr>
        <w:t>50</w:t>
      </w:r>
      <w:r>
        <w:rPr>
          <w:rFonts w:hint="eastAsia" w:ascii="仿宋" w:hAnsi="仿宋" w:eastAsia="仿宋" w:cs="仿宋"/>
          <w:sz w:val="32"/>
          <w:szCs w:val="32"/>
        </w:rPr>
        <w:t>元每人每天的差旅费标准进行补助。伙食补助费在规定限额标准内</w:t>
      </w:r>
      <w:r>
        <w:rPr>
          <w:rFonts w:ascii="仿宋" w:hAnsi="仿宋" w:eastAsia="仿宋" w:cs="仿宋"/>
          <w:sz w:val="32"/>
          <w:szCs w:val="32"/>
        </w:rPr>
        <w:t>(</w:t>
      </w:r>
      <w:r>
        <w:rPr>
          <w:rFonts w:hint="eastAsia" w:ascii="仿宋" w:hAnsi="仿宋" w:eastAsia="仿宋" w:cs="仿宋"/>
          <w:sz w:val="32"/>
          <w:szCs w:val="32"/>
        </w:rPr>
        <w:t>不超过每人每天</w:t>
      </w:r>
      <w:r>
        <w:rPr>
          <w:rFonts w:ascii="仿宋" w:hAnsi="仿宋" w:eastAsia="仿宋" w:cs="仿宋"/>
          <w:sz w:val="32"/>
          <w:szCs w:val="32"/>
        </w:rPr>
        <w:t>100</w:t>
      </w:r>
      <w:r>
        <w:rPr>
          <w:rFonts w:hint="eastAsia" w:ascii="仿宋" w:hAnsi="仿宋" w:eastAsia="仿宋" w:cs="仿宋"/>
          <w:sz w:val="32"/>
          <w:szCs w:val="32"/>
        </w:rPr>
        <w:t>元</w:t>
      </w:r>
      <w:r>
        <w:rPr>
          <w:rFonts w:ascii="仿宋" w:hAnsi="仿宋" w:eastAsia="仿宋" w:cs="仿宋"/>
          <w:sz w:val="32"/>
          <w:szCs w:val="32"/>
        </w:rPr>
        <w:t>)</w:t>
      </w:r>
      <w:r>
        <w:rPr>
          <w:rFonts w:hint="eastAsia" w:ascii="仿宋" w:hAnsi="仿宋" w:eastAsia="仿宋" w:cs="仿宋"/>
          <w:sz w:val="32"/>
          <w:szCs w:val="32"/>
        </w:rPr>
        <w:t>凭据报销，原则上不得报销住宿费，因情况特殊，需要住宿和就餐的，应事先向单位分管领导报批后在限额内报销。</w:t>
      </w:r>
    </w:p>
    <w:p>
      <w:pPr>
        <w:spacing w:line="600" w:lineRule="exact"/>
        <w:ind w:firstLine="643" w:firstLineChars="200"/>
        <w:rPr>
          <w:rFonts w:ascii="黑体" w:eastAsia="黑体"/>
          <w:b/>
          <w:bCs/>
          <w:sz w:val="32"/>
          <w:szCs w:val="32"/>
        </w:rPr>
      </w:pPr>
      <w:r>
        <w:rPr>
          <w:rFonts w:hint="eastAsia" w:ascii="黑体" w:eastAsia="黑体"/>
          <w:b/>
          <w:bCs/>
          <w:sz w:val="32"/>
          <w:szCs w:val="32"/>
        </w:rPr>
        <w:t>二、其他有关事项</w:t>
      </w:r>
    </w:p>
    <w:p>
      <w:pPr>
        <w:spacing w:line="600" w:lineRule="exact"/>
        <w:ind w:firstLine="643" w:firstLineChars="200"/>
        <w:rPr>
          <w:rFonts w:ascii="楷体_GB2312" w:hAnsi="楷体_GB2312" w:eastAsia="楷体_GB2312" w:cs="楷体_GB2312"/>
          <w:sz w:val="32"/>
          <w:szCs w:val="32"/>
        </w:rPr>
      </w:pPr>
      <w:r>
        <w:rPr>
          <w:rFonts w:hint="eastAsia" w:ascii="楷体_GB2312" w:hAnsi="楷体_GB2312" w:eastAsia="楷体_GB2312" w:cs="楷体_GB2312"/>
          <w:b/>
          <w:bCs/>
          <w:sz w:val="32"/>
          <w:szCs w:val="32"/>
        </w:rPr>
        <w:t>（一）规范收入分配制度</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按照国家统一的工资收入分配制度执行，基本工资由国家统一规定，规范性补贴、改革性补贴、奖金严格按照政策标准执行。必须做到：</w:t>
      </w:r>
      <w:r>
        <w:rPr>
          <w:rFonts w:ascii="仿宋" w:hAnsi="仿宋" w:eastAsia="仿宋" w:cs="仿宋"/>
          <w:sz w:val="32"/>
          <w:szCs w:val="32"/>
        </w:rPr>
        <w:t>1</w:t>
      </w:r>
      <w:r>
        <w:rPr>
          <w:rFonts w:hint="eastAsia" w:ascii="仿宋" w:hAnsi="仿宋" w:eastAsia="仿宋" w:cs="仿宋"/>
          <w:sz w:val="32"/>
          <w:szCs w:val="32"/>
        </w:rPr>
        <w:t>、未经批准，一律不准出台工资津补贴政策；</w:t>
      </w:r>
      <w:r>
        <w:rPr>
          <w:rFonts w:ascii="仿宋" w:hAnsi="仿宋" w:eastAsia="仿宋" w:cs="仿宋"/>
          <w:sz w:val="32"/>
          <w:szCs w:val="32"/>
        </w:rPr>
        <w:t>2</w:t>
      </w:r>
      <w:r>
        <w:rPr>
          <w:rFonts w:hint="eastAsia" w:ascii="仿宋" w:hAnsi="仿宋" w:eastAsia="仿宋" w:cs="仿宋"/>
          <w:sz w:val="32"/>
          <w:szCs w:val="32"/>
        </w:rPr>
        <w:t>、不得违规出台发放工资津补贴政策；</w:t>
      </w:r>
      <w:r>
        <w:rPr>
          <w:rFonts w:ascii="仿宋" w:hAnsi="仿宋" w:eastAsia="仿宋" w:cs="仿宋"/>
          <w:sz w:val="32"/>
          <w:szCs w:val="32"/>
        </w:rPr>
        <w:t>3</w:t>
      </w:r>
      <w:r>
        <w:rPr>
          <w:rFonts w:hint="eastAsia" w:ascii="仿宋" w:hAnsi="仿宋" w:eastAsia="仿宋" w:cs="仿宋"/>
          <w:sz w:val="32"/>
          <w:szCs w:val="32"/>
        </w:rPr>
        <w:t>、自行规定出台但尚未实施的一律不准执行；</w:t>
      </w:r>
      <w:r>
        <w:rPr>
          <w:rFonts w:ascii="仿宋" w:hAnsi="仿宋" w:eastAsia="仿宋" w:cs="仿宋"/>
          <w:sz w:val="32"/>
          <w:szCs w:val="32"/>
        </w:rPr>
        <w:t>4</w:t>
      </w:r>
      <w:r>
        <w:rPr>
          <w:rFonts w:hint="eastAsia" w:ascii="仿宋" w:hAnsi="仿宋" w:eastAsia="仿宋" w:cs="仿宋"/>
          <w:sz w:val="32"/>
          <w:szCs w:val="32"/>
        </w:rPr>
        <w:t>、国家出台的相关工资和补贴政策各地区各部门要遵照执行。</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（二）关于年终奖金（十三个月工资）发放的规定</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根据《公务员法》，机关工作人员年度考核称职（合格）以上，可以发放本人当年</w:t>
      </w:r>
      <w:r>
        <w:rPr>
          <w:rFonts w:ascii="仿宋" w:hAnsi="仿宋" w:eastAsia="仿宋" w:cs="仿宋"/>
          <w:sz w:val="32"/>
          <w:szCs w:val="32"/>
        </w:rPr>
        <w:t>12</w:t>
      </w:r>
      <w:r>
        <w:rPr>
          <w:rFonts w:hint="eastAsia" w:ascii="仿宋" w:hAnsi="仿宋" w:eastAsia="仿宋" w:cs="仿宋"/>
          <w:sz w:val="32"/>
          <w:szCs w:val="32"/>
        </w:rPr>
        <w:t>月份的基本工资作为年终奖金，基本称职、不称职（不合格）的人员，不得发放。</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事业单位</w:t>
      </w:r>
      <w:r>
        <w:rPr>
          <w:rFonts w:ascii="仿宋" w:hAnsi="仿宋" w:eastAsia="仿宋" w:cs="仿宋"/>
          <w:sz w:val="32"/>
          <w:szCs w:val="32"/>
        </w:rPr>
        <w:t>2010</w:t>
      </w:r>
      <w:r>
        <w:rPr>
          <w:rFonts w:hint="eastAsia" w:ascii="仿宋" w:hAnsi="仿宋" w:eastAsia="仿宋" w:cs="仿宋"/>
          <w:sz w:val="32"/>
          <w:szCs w:val="32"/>
        </w:rPr>
        <w:t>年实行绩效工资以后，取消原定的年终一次性奖金，因事业人员一个月基本工资额度已纳入绩效工资。</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（三）关于带薪年休假制度执行的规定</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根据《职工带薪年休假条例》（国务院第</w:t>
      </w:r>
      <w:r>
        <w:rPr>
          <w:rFonts w:ascii="仿宋" w:hAnsi="仿宋" w:eastAsia="仿宋" w:cs="仿宋"/>
          <w:sz w:val="32"/>
          <w:szCs w:val="32"/>
        </w:rPr>
        <w:t>514</w:t>
      </w:r>
      <w:r>
        <w:rPr>
          <w:rFonts w:hint="eastAsia" w:ascii="仿宋" w:hAnsi="仿宋" w:eastAsia="仿宋" w:cs="仿宋"/>
          <w:sz w:val="32"/>
          <w:szCs w:val="32"/>
        </w:rPr>
        <w:t>号）和《机关事业单位工作人员带薪年休假实施办法》（中华人民共和国人事部令</w:t>
      </w:r>
      <w:r>
        <w:rPr>
          <w:rFonts w:ascii="仿宋" w:hAnsi="仿宋" w:eastAsia="仿宋" w:cs="仿宋"/>
          <w:sz w:val="32"/>
          <w:szCs w:val="32"/>
        </w:rPr>
        <w:t>2008</w:t>
      </w:r>
      <w:r>
        <w:rPr>
          <w:rFonts w:hint="eastAsia" w:ascii="仿宋" w:hAnsi="仿宋" w:eastAsia="仿宋" w:cs="仿宋"/>
          <w:sz w:val="32"/>
          <w:szCs w:val="32"/>
        </w:rPr>
        <w:t>第</w:t>
      </w:r>
      <w:r>
        <w:rPr>
          <w:rFonts w:ascii="仿宋" w:hAnsi="仿宋" w:eastAsia="仿宋" w:cs="仿宋"/>
          <w:sz w:val="32"/>
          <w:szCs w:val="32"/>
        </w:rPr>
        <w:t>9</w:t>
      </w:r>
      <w:r>
        <w:rPr>
          <w:rFonts w:hint="eastAsia" w:ascii="仿宋" w:hAnsi="仿宋" w:eastAsia="仿宋" w:cs="仿宋"/>
          <w:sz w:val="32"/>
          <w:szCs w:val="32"/>
        </w:rPr>
        <w:t>号），机关事业单位工作人员工作一年以上的可享受带薪年休假待遇；工作满</w:t>
      </w:r>
      <w:r>
        <w:rPr>
          <w:rFonts w:ascii="仿宋" w:hAnsi="仿宋" w:eastAsia="仿宋" w:cs="仿宋"/>
          <w:sz w:val="32"/>
          <w:szCs w:val="32"/>
        </w:rPr>
        <w:t>1</w:t>
      </w:r>
      <w:r>
        <w:rPr>
          <w:rFonts w:hint="eastAsia" w:ascii="仿宋" w:hAnsi="仿宋" w:eastAsia="仿宋" w:cs="仿宋"/>
          <w:sz w:val="32"/>
          <w:szCs w:val="32"/>
        </w:rPr>
        <w:t>年不满</w:t>
      </w:r>
      <w:r>
        <w:rPr>
          <w:rFonts w:ascii="仿宋" w:hAnsi="仿宋" w:eastAsia="仿宋" w:cs="仿宋"/>
          <w:sz w:val="32"/>
          <w:szCs w:val="32"/>
        </w:rPr>
        <w:t>10</w:t>
      </w:r>
      <w:r>
        <w:rPr>
          <w:rFonts w:hint="eastAsia" w:ascii="仿宋" w:hAnsi="仿宋" w:eastAsia="仿宋" w:cs="仿宋"/>
          <w:sz w:val="32"/>
          <w:szCs w:val="32"/>
        </w:rPr>
        <w:t>年的，年休假</w:t>
      </w:r>
      <w:r>
        <w:rPr>
          <w:rFonts w:ascii="仿宋" w:hAnsi="仿宋" w:eastAsia="仿宋" w:cs="仿宋"/>
          <w:sz w:val="32"/>
          <w:szCs w:val="32"/>
        </w:rPr>
        <w:t>5</w:t>
      </w:r>
      <w:r>
        <w:rPr>
          <w:rFonts w:hint="eastAsia" w:ascii="仿宋" w:hAnsi="仿宋" w:eastAsia="仿宋" w:cs="仿宋"/>
          <w:sz w:val="32"/>
          <w:szCs w:val="32"/>
        </w:rPr>
        <w:t>天；已满</w:t>
      </w:r>
      <w:r>
        <w:rPr>
          <w:rFonts w:ascii="仿宋" w:hAnsi="仿宋" w:eastAsia="仿宋" w:cs="仿宋"/>
          <w:sz w:val="32"/>
          <w:szCs w:val="32"/>
        </w:rPr>
        <w:t>10</w:t>
      </w:r>
      <w:r>
        <w:rPr>
          <w:rFonts w:hint="eastAsia" w:ascii="仿宋" w:hAnsi="仿宋" w:eastAsia="仿宋" w:cs="仿宋"/>
          <w:sz w:val="32"/>
          <w:szCs w:val="32"/>
        </w:rPr>
        <w:t>年不满</w:t>
      </w:r>
      <w:r>
        <w:rPr>
          <w:rFonts w:ascii="仿宋" w:hAnsi="仿宋" w:eastAsia="仿宋" w:cs="仿宋"/>
          <w:sz w:val="32"/>
          <w:szCs w:val="32"/>
        </w:rPr>
        <w:t>20</w:t>
      </w:r>
      <w:r>
        <w:rPr>
          <w:rFonts w:hint="eastAsia" w:ascii="仿宋" w:hAnsi="仿宋" w:eastAsia="仿宋" w:cs="仿宋"/>
          <w:sz w:val="32"/>
          <w:szCs w:val="32"/>
        </w:rPr>
        <w:t>年的，年休假</w:t>
      </w:r>
      <w:r>
        <w:rPr>
          <w:rFonts w:ascii="仿宋" w:hAnsi="仿宋" w:eastAsia="仿宋" w:cs="仿宋"/>
          <w:sz w:val="32"/>
          <w:szCs w:val="32"/>
        </w:rPr>
        <w:t>10</w:t>
      </w:r>
      <w:r>
        <w:rPr>
          <w:rFonts w:hint="eastAsia" w:ascii="仿宋" w:hAnsi="仿宋" w:eastAsia="仿宋" w:cs="仿宋"/>
          <w:sz w:val="32"/>
          <w:szCs w:val="32"/>
        </w:rPr>
        <w:t>天；已满</w:t>
      </w:r>
      <w:r>
        <w:rPr>
          <w:rFonts w:ascii="仿宋" w:hAnsi="仿宋" w:eastAsia="仿宋" w:cs="仿宋"/>
          <w:sz w:val="32"/>
          <w:szCs w:val="32"/>
        </w:rPr>
        <w:t>20</w:t>
      </w:r>
      <w:r>
        <w:rPr>
          <w:rFonts w:hint="eastAsia" w:ascii="仿宋" w:hAnsi="仿宋" w:eastAsia="仿宋" w:cs="仿宋"/>
          <w:sz w:val="32"/>
          <w:szCs w:val="32"/>
        </w:rPr>
        <w:t>年的，年休假</w:t>
      </w:r>
      <w:r>
        <w:rPr>
          <w:rFonts w:ascii="仿宋" w:hAnsi="仿宋" w:eastAsia="仿宋" w:cs="仿宋"/>
          <w:sz w:val="32"/>
          <w:szCs w:val="32"/>
        </w:rPr>
        <w:t>15</w:t>
      </w:r>
      <w:r>
        <w:rPr>
          <w:rFonts w:hint="eastAsia" w:ascii="仿宋" w:hAnsi="仿宋" w:eastAsia="仿宋" w:cs="仿宋"/>
          <w:sz w:val="32"/>
          <w:szCs w:val="32"/>
        </w:rPr>
        <w:t>天。</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按照湖南省人力资源和社会保障厅《关于做好机关事业单位带薪年休假实施工作有关事项的通知》（湘人社函﹝</w:t>
      </w:r>
      <w:r>
        <w:rPr>
          <w:rFonts w:ascii="仿宋" w:hAnsi="仿宋" w:eastAsia="仿宋" w:cs="仿宋"/>
          <w:sz w:val="32"/>
          <w:szCs w:val="32"/>
        </w:rPr>
        <w:t>2015</w:t>
      </w:r>
      <w:r>
        <w:rPr>
          <w:rFonts w:hint="eastAsia" w:ascii="仿宋" w:hAnsi="仿宋" w:eastAsia="仿宋" w:cs="仿宋"/>
          <w:sz w:val="32"/>
          <w:szCs w:val="32"/>
        </w:rPr>
        <w:t>﹞</w:t>
      </w:r>
      <w:r>
        <w:rPr>
          <w:rFonts w:ascii="仿宋" w:hAnsi="仿宋" w:eastAsia="仿宋" w:cs="仿宋"/>
          <w:sz w:val="32"/>
          <w:szCs w:val="32"/>
        </w:rPr>
        <w:t>271</w:t>
      </w:r>
      <w:r>
        <w:rPr>
          <w:rFonts w:hint="eastAsia" w:ascii="仿宋" w:hAnsi="仿宋" w:eastAsia="仿宋" w:cs="仿宋"/>
          <w:sz w:val="32"/>
          <w:szCs w:val="32"/>
        </w:rPr>
        <w:t>号）和转发《中共湖南省委办公厅湖南省人民政府办公厅关于安排机关单位工作人员年休假有关事项的通知》的通知（君办﹝</w:t>
      </w:r>
      <w:r>
        <w:rPr>
          <w:rFonts w:ascii="仿宋" w:hAnsi="仿宋" w:eastAsia="仿宋" w:cs="仿宋"/>
          <w:sz w:val="32"/>
          <w:szCs w:val="32"/>
        </w:rPr>
        <w:t>2018</w:t>
      </w:r>
      <w:r>
        <w:rPr>
          <w:rFonts w:hint="eastAsia" w:ascii="仿宋" w:hAnsi="仿宋" w:eastAsia="仿宋" w:cs="仿宋"/>
          <w:sz w:val="32"/>
          <w:szCs w:val="32"/>
        </w:rPr>
        <w:t>﹞</w:t>
      </w:r>
      <w:r>
        <w:rPr>
          <w:rFonts w:ascii="仿宋" w:hAnsi="仿宋" w:eastAsia="仿宋" w:cs="仿宋"/>
          <w:sz w:val="32"/>
          <w:szCs w:val="32"/>
        </w:rPr>
        <w:t>32</w:t>
      </w:r>
      <w:r>
        <w:rPr>
          <w:rFonts w:hint="eastAsia" w:ascii="仿宋" w:hAnsi="仿宋" w:eastAsia="仿宋" w:cs="仿宋"/>
          <w:sz w:val="32"/>
          <w:szCs w:val="32"/>
        </w:rPr>
        <w:t>号）等相关文件精神，各单位要严格按政策规定，年初制定工作人员带薪年休假实施方案，按单位隶属关系报主管部门备案。要加强出勤考勤登记，建立年休假台帐，每年年底将单位工作人员带薪年休假制度执行情况在本单位公示</w:t>
      </w:r>
      <w:r>
        <w:rPr>
          <w:rFonts w:ascii="仿宋" w:hAnsi="仿宋" w:eastAsia="仿宋" w:cs="仿宋"/>
          <w:sz w:val="32"/>
          <w:szCs w:val="32"/>
        </w:rPr>
        <w:t>7</w:t>
      </w:r>
      <w:r>
        <w:rPr>
          <w:rFonts w:hint="eastAsia" w:ascii="仿宋" w:hAnsi="仿宋" w:eastAsia="仿宋" w:cs="仿宋"/>
          <w:sz w:val="32"/>
          <w:szCs w:val="32"/>
        </w:rPr>
        <w:t>个工作日以上，然后形成报告上报主管部门。</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严格执行带薪休假制度，节假日实行轮休与补休，上年未休完的假期，可以结转下年补休，不得发放应休未休年休假补贴。</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（四）关于公务用车交通补贴发放的规定</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根据《君山区公务用车制度改革实施方案》的通知（君办发﹝</w:t>
      </w:r>
      <w:r>
        <w:rPr>
          <w:rFonts w:ascii="仿宋" w:hAnsi="仿宋" w:eastAsia="仿宋" w:cs="仿宋"/>
          <w:sz w:val="32"/>
          <w:szCs w:val="32"/>
        </w:rPr>
        <w:t>2016</w:t>
      </w:r>
      <w:r>
        <w:rPr>
          <w:rFonts w:hint="eastAsia" w:ascii="仿宋" w:hAnsi="仿宋" w:eastAsia="仿宋" w:cs="仿宋"/>
          <w:sz w:val="32"/>
          <w:szCs w:val="32"/>
        </w:rPr>
        <w:t>﹞</w:t>
      </w:r>
      <w:r>
        <w:rPr>
          <w:rFonts w:ascii="仿宋" w:hAnsi="仿宋" w:eastAsia="仿宋" w:cs="仿宋"/>
          <w:sz w:val="32"/>
          <w:szCs w:val="32"/>
        </w:rPr>
        <w:t>17</w:t>
      </w:r>
      <w:r>
        <w:rPr>
          <w:rFonts w:hint="eastAsia" w:ascii="仿宋" w:hAnsi="仿宋" w:eastAsia="仿宋" w:cs="仿宋"/>
          <w:sz w:val="32"/>
          <w:szCs w:val="32"/>
        </w:rPr>
        <w:t>号）文件精神，我区公务用车交通补贴严格按照对象职级享受。异动人员公务交通补贴的调整和发放，按相关程序和时间节点报批办理（特别是到龄退休人员的办理），不能及时办理手续的应书面向相关部门报停（包括其他享受事项）。</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（五）关于防汛值班补贴的发放规定</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参照国家防汛抗旱总指挥部办公室文件《关于对设立防汛值班补贴的签复意见》</w:t>
      </w:r>
      <w:r>
        <w:rPr>
          <w:rFonts w:ascii="仿宋" w:hAnsi="仿宋" w:eastAsia="仿宋" w:cs="仿宋"/>
          <w:sz w:val="32"/>
          <w:szCs w:val="32"/>
        </w:rPr>
        <w:t xml:space="preserve">, </w:t>
      </w:r>
      <w:r>
        <w:rPr>
          <w:rFonts w:hint="eastAsia" w:ascii="仿宋" w:hAnsi="仿宋" w:eastAsia="仿宋" w:cs="仿宋"/>
          <w:sz w:val="32"/>
          <w:szCs w:val="32"/>
        </w:rPr>
        <w:t>每人每天</w:t>
      </w:r>
      <w:r>
        <w:rPr>
          <w:rFonts w:ascii="仿宋" w:hAnsi="仿宋" w:eastAsia="仿宋" w:cs="仿宋"/>
          <w:sz w:val="32"/>
          <w:szCs w:val="32"/>
        </w:rPr>
        <w:t>80</w:t>
      </w:r>
      <w:r>
        <w:rPr>
          <w:rFonts w:hint="eastAsia" w:ascii="仿宋" w:hAnsi="仿宋" w:eastAsia="仿宋" w:cs="仿宋"/>
          <w:sz w:val="32"/>
          <w:szCs w:val="32"/>
        </w:rPr>
        <w:t>元标准发放。</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（六）关于加班费、值班费</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按照《公务员法》，公务员不能发放加班费、值班费，只能安排轮休或补休。</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确因工作需要，难以轮休补休的，经单位班子集体研究，并在本单位公示五个工作日后，报区财务监督协调领导小组办公室批示，可以按加班、值班人员日工资标准进行补助。法定节假日加班、值班人员(值班人员每日不能超过3人)可以按已领取的日工资基础上再按2倍发放。</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（七）关于重点工程建设临时机构指挥部补助的规定</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根据《湖南省财政厅关于规范党政机关工作人员参与重点项目建设领取施工现场津贴的意见》（湘财综﹝</w:t>
      </w:r>
      <w:r>
        <w:rPr>
          <w:rFonts w:ascii="仿宋" w:hAnsi="仿宋" w:eastAsia="仿宋" w:cs="仿宋"/>
          <w:sz w:val="32"/>
          <w:szCs w:val="32"/>
        </w:rPr>
        <w:t>2017</w:t>
      </w:r>
      <w:r>
        <w:rPr>
          <w:rFonts w:hint="eastAsia" w:ascii="仿宋" w:hAnsi="仿宋" w:eastAsia="仿宋" w:cs="仿宋"/>
          <w:sz w:val="32"/>
          <w:szCs w:val="32"/>
        </w:rPr>
        <w:t>﹞</w:t>
      </w:r>
      <w:r>
        <w:rPr>
          <w:rFonts w:ascii="仿宋" w:hAnsi="仿宋" w:eastAsia="仿宋" w:cs="仿宋"/>
          <w:sz w:val="32"/>
          <w:szCs w:val="32"/>
        </w:rPr>
        <w:t>31</w:t>
      </w:r>
      <w:r>
        <w:rPr>
          <w:rFonts w:hint="eastAsia" w:ascii="仿宋" w:hAnsi="仿宋" w:eastAsia="仿宋" w:cs="仿宋"/>
          <w:sz w:val="32"/>
          <w:szCs w:val="32"/>
        </w:rPr>
        <w:t>号）：</w:t>
      </w:r>
    </w:p>
    <w:p>
      <w:pPr>
        <w:spacing w:line="600" w:lineRule="exact"/>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重点项目是指各级政府列入当地经济发展重点建设规划，由当地政府设立专门管理机构（如重点项目建设指挥部等）统一管理的建设工程项目。各级政府应本着精干、高效、廉洁的原则，从严从紧控制设立重点项目建设管理机构。</w:t>
      </w:r>
    </w:p>
    <w:p>
      <w:pPr>
        <w:spacing w:line="600" w:lineRule="exact"/>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、参与重点项目工程建设的党政机关工作人员是指因管理需要，按干部管理权限由同级党委、政府及其相关部门任命、批准或者指派，到重点项目指挥部工作，且不改变其组织人事及工资关系的工作人员。</w:t>
      </w:r>
    </w:p>
    <w:p>
      <w:pPr>
        <w:spacing w:line="600" w:lineRule="exact"/>
        <w:ind w:firstLine="640" w:firstLineChars="200"/>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、根据财政部《基本建设项目建设成本管理规定》（财建﹝</w:t>
      </w:r>
      <w:r>
        <w:rPr>
          <w:rFonts w:ascii="仿宋" w:hAnsi="仿宋" w:eastAsia="仿宋" w:cs="仿宋"/>
          <w:sz w:val="32"/>
          <w:szCs w:val="32"/>
        </w:rPr>
        <w:t>2016</w:t>
      </w:r>
      <w:r>
        <w:rPr>
          <w:rFonts w:hint="eastAsia" w:ascii="仿宋" w:hAnsi="仿宋" w:eastAsia="仿宋" w:cs="仿宋"/>
          <w:sz w:val="32"/>
          <w:szCs w:val="32"/>
        </w:rPr>
        <w:t>﹞</w:t>
      </w:r>
      <w:r>
        <w:rPr>
          <w:rFonts w:ascii="仿宋" w:hAnsi="仿宋" w:eastAsia="仿宋" w:cs="仿宋"/>
          <w:sz w:val="32"/>
          <w:szCs w:val="32"/>
        </w:rPr>
        <w:t>504</w:t>
      </w:r>
      <w:r>
        <w:rPr>
          <w:rFonts w:hint="eastAsia" w:ascii="仿宋" w:hAnsi="仿宋" w:eastAsia="仿宋" w:cs="仿宋"/>
          <w:sz w:val="32"/>
          <w:szCs w:val="32"/>
        </w:rPr>
        <w:t>号），党政机关工作人员参与重点项目建设，根据其工作实际和考勤情况，按规定程序报批后，领取施工现场津贴。</w:t>
      </w:r>
    </w:p>
    <w:p>
      <w:pPr>
        <w:spacing w:line="600" w:lineRule="exact"/>
        <w:ind w:firstLine="640" w:firstLineChars="200"/>
        <w:rPr>
          <w:rFonts w:ascii="仿宋" w:hAnsi="仿宋" w:eastAsia="仿宋" w:cs="仿宋"/>
          <w:sz w:val="32"/>
          <w:szCs w:val="32"/>
        </w:rPr>
      </w:pPr>
      <w:r>
        <w:rPr>
          <w:rFonts w:ascii="仿宋" w:hAnsi="仿宋" w:eastAsia="仿宋" w:cs="仿宋"/>
          <w:sz w:val="32"/>
          <w:szCs w:val="32"/>
        </w:rPr>
        <w:t>4</w:t>
      </w:r>
      <w:r>
        <w:rPr>
          <w:rFonts w:hint="eastAsia" w:ascii="仿宋" w:hAnsi="仿宋" w:eastAsia="仿宋" w:cs="仿宋"/>
          <w:sz w:val="32"/>
          <w:szCs w:val="32"/>
        </w:rPr>
        <w:t>、党政机关工作人员参与重点项目建设工作，应建立严格的考勤台帐制度，作为发放施工现场津贴的依据。参与重点项目建设工作一日内需达到</w:t>
      </w:r>
      <w:r>
        <w:rPr>
          <w:rFonts w:ascii="仿宋" w:hAnsi="仿宋" w:eastAsia="仿宋" w:cs="仿宋"/>
          <w:sz w:val="32"/>
          <w:szCs w:val="32"/>
        </w:rPr>
        <w:t>6</w:t>
      </w:r>
      <w:r>
        <w:rPr>
          <w:rFonts w:hint="eastAsia" w:ascii="仿宋" w:hAnsi="仿宋" w:eastAsia="仿宋" w:cs="仿宋"/>
          <w:sz w:val="32"/>
          <w:szCs w:val="32"/>
        </w:rPr>
        <w:t>小时以上，方可视为</w:t>
      </w:r>
      <w:r>
        <w:rPr>
          <w:rFonts w:ascii="仿宋" w:hAnsi="仿宋" w:eastAsia="仿宋" w:cs="仿宋"/>
          <w:sz w:val="32"/>
          <w:szCs w:val="32"/>
        </w:rPr>
        <w:t>1</w:t>
      </w:r>
      <w:r>
        <w:rPr>
          <w:rFonts w:hint="eastAsia" w:ascii="仿宋" w:hAnsi="仿宋" w:eastAsia="仿宋" w:cs="仿宋"/>
          <w:sz w:val="32"/>
          <w:szCs w:val="32"/>
        </w:rPr>
        <w:t>个工作日，并按工作日申报领取施工现场津贴。兼职</w:t>
      </w:r>
      <w:r>
        <w:rPr>
          <w:rFonts w:ascii="仿宋" w:hAnsi="仿宋" w:eastAsia="仿宋" w:cs="仿宋"/>
          <w:sz w:val="32"/>
          <w:szCs w:val="32"/>
        </w:rPr>
        <w:t>1</w:t>
      </w:r>
      <w:r>
        <w:rPr>
          <w:rFonts w:hint="eastAsia" w:ascii="仿宋" w:hAnsi="仿宋" w:eastAsia="仿宋" w:cs="仿宋"/>
          <w:sz w:val="32"/>
          <w:szCs w:val="32"/>
        </w:rPr>
        <w:t>个以上重点项目管理的领导干部，只可在一个重点建设项目管理机构参与考核并领取施工现场津贴，不得多头领取。</w:t>
      </w:r>
    </w:p>
    <w:p>
      <w:pPr>
        <w:spacing w:line="600" w:lineRule="exact"/>
        <w:ind w:firstLine="640" w:firstLineChars="200"/>
        <w:rPr>
          <w:rFonts w:ascii="仿宋" w:hAnsi="仿宋" w:eastAsia="仿宋" w:cs="仿宋"/>
          <w:sz w:val="32"/>
          <w:szCs w:val="32"/>
        </w:rPr>
      </w:pPr>
      <w:r>
        <w:rPr>
          <w:rFonts w:ascii="仿宋" w:hAnsi="仿宋" w:eastAsia="仿宋" w:cs="仿宋"/>
          <w:sz w:val="32"/>
          <w:szCs w:val="32"/>
        </w:rPr>
        <w:t>5</w:t>
      </w:r>
      <w:r>
        <w:rPr>
          <w:rFonts w:hint="eastAsia" w:ascii="仿宋" w:hAnsi="仿宋" w:eastAsia="仿宋" w:cs="仿宋"/>
          <w:sz w:val="32"/>
          <w:szCs w:val="32"/>
        </w:rPr>
        <w:t>、施工现场津贴比照当地同级财政部门制定的差旅费标准中的辖区内伙食补贴费执行，在重点项目“建设成本”项下的“项目建设管理费”中列支。</w:t>
      </w:r>
    </w:p>
    <w:p>
      <w:pPr>
        <w:spacing w:line="600" w:lineRule="exact"/>
        <w:ind w:firstLine="640" w:firstLineChars="200"/>
        <w:rPr>
          <w:rFonts w:ascii="仿宋" w:hAnsi="仿宋" w:eastAsia="仿宋" w:cs="仿宋"/>
          <w:sz w:val="32"/>
          <w:szCs w:val="32"/>
        </w:rPr>
      </w:pPr>
      <w:r>
        <w:rPr>
          <w:rFonts w:ascii="仿宋" w:hAnsi="仿宋" w:eastAsia="仿宋" w:cs="仿宋"/>
          <w:sz w:val="32"/>
          <w:szCs w:val="32"/>
        </w:rPr>
        <w:t>6</w:t>
      </w:r>
      <w:r>
        <w:rPr>
          <w:rFonts w:hint="eastAsia" w:ascii="仿宋" w:hAnsi="仿宋" w:eastAsia="仿宋" w:cs="仿宋"/>
          <w:sz w:val="32"/>
          <w:szCs w:val="32"/>
        </w:rPr>
        <w:t>、参与重点项目建设的党政机关工作人员，除按本规定领取施工现场津补贴外，不得从项目建设单位领取薪酬及其他津补贴等任何报酬。违者依据《关于进一步规范党政领导干部在企业兼职</w:t>
      </w:r>
      <w:r>
        <w:rPr>
          <w:rFonts w:ascii="仿宋" w:hAnsi="仿宋" w:eastAsia="仿宋" w:cs="仿宋"/>
          <w:sz w:val="32"/>
          <w:szCs w:val="32"/>
        </w:rPr>
        <w:t>(</w:t>
      </w:r>
      <w:r>
        <w:rPr>
          <w:rFonts w:hint="eastAsia" w:ascii="仿宋" w:hAnsi="仿宋" w:eastAsia="仿宋" w:cs="仿宋"/>
          <w:sz w:val="32"/>
          <w:szCs w:val="32"/>
        </w:rPr>
        <w:t>任职</w:t>
      </w:r>
      <w:r>
        <w:rPr>
          <w:rFonts w:ascii="仿宋" w:hAnsi="仿宋" w:eastAsia="仿宋" w:cs="仿宋"/>
          <w:sz w:val="32"/>
          <w:szCs w:val="32"/>
        </w:rPr>
        <w:t>)</w:t>
      </w:r>
      <w:r>
        <w:rPr>
          <w:rFonts w:hint="eastAsia" w:ascii="仿宋" w:hAnsi="仿宋" w:eastAsia="仿宋" w:cs="仿宋"/>
          <w:sz w:val="32"/>
          <w:szCs w:val="32"/>
        </w:rPr>
        <w:t>问题的意见》（中组发﹝</w:t>
      </w:r>
      <w:r>
        <w:rPr>
          <w:rFonts w:ascii="仿宋" w:hAnsi="仿宋" w:eastAsia="仿宋" w:cs="仿宋"/>
          <w:sz w:val="32"/>
          <w:szCs w:val="32"/>
        </w:rPr>
        <w:t>2013</w:t>
      </w:r>
      <w:r>
        <w:rPr>
          <w:rFonts w:hint="eastAsia" w:ascii="仿宋" w:hAnsi="仿宋" w:eastAsia="仿宋" w:cs="仿宋"/>
          <w:sz w:val="32"/>
          <w:szCs w:val="32"/>
        </w:rPr>
        <w:t>﹞</w:t>
      </w:r>
      <w:r>
        <w:rPr>
          <w:rFonts w:ascii="仿宋" w:hAnsi="仿宋" w:eastAsia="仿宋" w:cs="仿宋"/>
          <w:sz w:val="32"/>
          <w:szCs w:val="32"/>
        </w:rPr>
        <w:t>18</w:t>
      </w:r>
      <w:r>
        <w:rPr>
          <w:rFonts w:hint="eastAsia" w:ascii="仿宋" w:hAnsi="仿宋" w:eastAsia="仿宋" w:cs="仿宋"/>
          <w:sz w:val="32"/>
          <w:szCs w:val="32"/>
        </w:rPr>
        <w:t>号）、《中国共产党纪律处分条例》、《违规发放津补贴行为处分规定》等有关法律、法规处理。</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按照</w:t>
      </w:r>
      <w:r>
        <w:rPr>
          <w:rFonts w:ascii="仿宋" w:hAnsi="仿宋" w:eastAsia="仿宋" w:cs="仿宋"/>
          <w:sz w:val="32"/>
          <w:szCs w:val="32"/>
        </w:rPr>
        <w:t>2015</w:t>
      </w:r>
      <w:r>
        <w:rPr>
          <w:rFonts w:hint="eastAsia" w:ascii="仿宋" w:hAnsi="仿宋" w:eastAsia="仿宋" w:cs="仿宋"/>
          <w:sz w:val="32"/>
          <w:szCs w:val="32"/>
        </w:rPr>
        <w:t>年省委巡视组检查的要求，结合君山区实际情况符合发放条件的单位和对象经报区财务监督协调领导小组办公室审批同意后按每月不超过</w:t>
      </w:r>
      <w:r>
        <w:rPr>
          <w:rFonts w:ascii="仿宋" w:hAnsi="仿宋" w:eastAsia="仿宋" w:cs="仿宋"/>
          <w:sz w:val="32"/>
          <w:szCs w:val="32"/>
        </w:rPr>
        <w:t>900</w:t>
      </w:r>
      <w:r>
        <w:rPr>
          <w:rFonts w:hint="eastAsia" w:ascii="仿宋" w:hAnsi="仿宋" w:eastAsia="仿宋" w:cs="仿宋"/>
          <w:sz w:val="32"/>
          <w:szCs w:val="32"/>
        </w:rPr>
        <w:t>元的标准发放（只含各指挥部抽调和借调人员，不包括专职岗位工作人员，且在重点项部月工作</w:t>
      </w:r>
      <w:r>
        <w:rPr>
          <w:rFonts w:ascii="仿宋" w:hAnsi="仿宋" w:eastAsia="仿宋" w:cs="仿宋"/>
          <w:sz w:val="32"/>
          <w:szCs w:val="32"/>
        </w:rPr>
        <w:t>15</w:t>
      </w:r>
      <w:r>
        <w:rPr>
          <w:rFonts w:hint="eastAsia" w:ascii="仿宋" w:hAnsi="仿宋" w:eastAsia="仿宋" w:cs="仿宋"/>
          <w:sz w:val="32"/>
          <w:szCs w:val="32"/>
        </w:rPr>
        <w:t>天以上）。</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（八）关于住房公积金单位和个人部分每年的缴存规定</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住房公积金缴纳按上年度工资总额的</w:t>
      </w:r>
      <w:r>
        <w:rPr>
          <w:rFonts w:ascii="仿宋" w:hAnsi="仿宋" w:eastAsia="仿宋" w:cs="仿宋"/>
          <w:sz w:val="32"/>
          <w:szCs w:val="32"/>
        </w:rPr>
        <w:t>5%</w:t>
      </w:r>
      <w:r>
        <w:rPr>
          <w:rFonts w:hint="eastAsia" w:ascii="仿宋" w:hAnsi="仿宋" w:eastAsia="仿宋" w:cs="仿宋"/>
          <w:sz w:val="32"/>
          <w:szCs w:val="32"/>
        </w:rPr>
        <w:t>～</w:t>
      </w:r>
      <w:r>
        <w:rPr>
          <w:rFonts w:ascii="仿宋" w:hAnsi="仿宋" w:eastAsia="仿宋" w:cs="仿宋"/>
          <w:sz w:val="32"/>
          <w:szCs w:val="32"/>
        </w:rPr>
        <w:t>12%</w:t>
      </w:r>
      <w:r>
        <w:rPr>
          <w:rFonts w:hint="eastAsia" w:ascii="仿宋" w:hAnsi="仿宋" w:eastAsia="仿宋" w:cs="仿宋"/>
          <w:sz w:val="32"/>
          <w:szCs w:val="32"/>
        </w:rPr>
        <w:t>的标准执行。君山区从</w:t>
      </w:r>
      <w:r>
        <w:rPr>
          <w:rFonts w:ascii="仿宋" w:hAnsi="仿宋" w:eastAsia="仿宋" w:cs="仿宋"/>
          <w:sz w:val="32"/>
          <w:szCs w:val="32"/>
        </w:rPr>
        <w:t>2015</w:t>
      </w:r>
      <w:r>
        <w:rPr>
          <w:rFonts w:hint="eastAsia" w:ascii="仿宋" w:hAnsi="仿宋" w:eastAsia="仿宋" w:cs="仿宋"/>
          <w:sz w:val="32"/>
          <w:szCs w:val="32"/>
        </w:rPr>
        <w:t>年起对区直公务员、区直全额事业编住房公积金按工资总额</w:t>
      </w:r>
      <w:r>
        <w:rPr>
          <w:rFonts w:ascii="仿宋" w:hAnsi="仿宋" w:eastAsia="仿宋" w:cs="仿宋"/>
          <w:sz w:val="32"/>
          <w:szCs w:val="32"/>
        </w:rPr>
        <w:t>12%</w:t>
      </w:r>
      <w:r>
        <w:rPr>
          <w:rFonts w:hint="eastAsia" w:ascii="仿宋" w:hAnsi="仿宋" w:eastAsia="仿宋" w:cs="仿宋"/>
          <w:sz w:val="32"/>
          <w:szCs w:val="32"/>
        </w:rPr>
        <w:t>缴纳，单位和个人分别扣缴；乡镇和差额事业编财政没有扣缴。对没有按工资总额扣缴到位的部分，可按应缴数额</w:t>
      </w:r>
      <w:r>
        <w:rPr>
          <w:rFonts w:ascii="仿宋" w:hAnsi="仿宋" w:eastAsia="仿宋" w:cs="仿宋"/>
          <w:sz w:val="32"/>
          <w:szCs w:val="32"/>
        </w:rPr>
        <w:t>12%</w:t>
      </w:r>
      <w:r>
        <w:rPr>
          <w:rFonts w:hint="eastAsia" w:ascii="仿宋" w:hAnsi="仿宋" w:eastAsia="仿宋" w:cs="仿宋"/>
          <w:sz w:val="32"/>
          <w:szCs w:val="32"/>
        </w:rPr>
        <w:t>单位和个人分别扣缴到位，扣缴后超过每年上缴上限的，只能按最高上限标准执行，未达到每年上缴上限的，只能按工资总额扣缴数执行。</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（九）关于医保金每年铺底的规定</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根据《关于继续实行公务员医疗保险个人账户过渡性补助政策的通知》（岳市劳社﹝2006﹞11号）、《君山区财务监督协调领导小组第二次会议纪要》文件，从2018年起，继续对公务员（含退休人员）医疗保险个人账户实行过渡性补助政策，补助标准为每人每年一个月工资总额（含津补贴）。其他人员（含退休人员）的医疗补助，可参照执行。</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（十）关于文明单位的奖励问题</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经区财务监督协调领导小组会议确定，文明单位的奖励是：</w:t>
      </w:r>
    </w:p>
    <w:p>
      <w:pPr>
        <w:spacing w:line="600" w:lineRule="exact"/>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、市级文明单位：在有效期内每年可发一个月基本工资奖励。</w:t>
      </w:r>
    </w:p>
    <w:p>
      <w:pPr>
        <w:spacing w:line="600" w:lineRule="exact"/>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、省级文明单位：在有效期内每年可发</w:t>
      </w:r>
      <w:r>
        <w:rPr>
          <w:rFonts w:ascii="仿宋" w:hAnsi="仿宋" w:eastAsia="仿宋" w:cs="仿宋"/>
          <w:sz w:val="32"/>
          <w:szCs w:val="32"/>
        </w:rPr>
        <w:t>1</w:t>
      </w:r>
      <w:r>
        <w:rPr>
          <w:rFonts w:hint="eastAsia" w:ascii="仿宋" w:hAnsi="仿宋" w:eastAsia="仿宋" w:cs="仿宋"/>
          <w:sz w:val="32"/>
          <w:szCs w:val="32"/>
        </w:rPr>
        <w:t>至</w:t>
      </w:r>
      <w:r>
        <w:rPr>
          <w:rFonts w:ascii="仿宋" w:hAnsi="仿宋" w:eastAsia="仿宋" w:cs="仿宋"/>
          <w:sz w:val="32"/>
          <w:szCs w:val="32"/>
        </w:rPr>
        <w:t>1.5</w:t>
      </w:r>
      <w:r>
        <w:rPr>
          <w:rFonts w:hint="eastAsia" w:ascii="仿宋" w:hAnsi="仿宋" w:eastAsia="仿宋" w:cs="仿宋"/>
          <w:sz w:val="32"/>
          <w:szCs w:val="32"/>
        </w:rPr>
        <w:t>个月基本工资奖励。</w:t>
      </w:r>
    </w:p>
    <w:p>
      <w:pPr>
        <w:spacing w:line="600" w:lineRule="exact"/>
        <w:ind w:firstLine="640" w:firstLineChars="200"/>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、国家级文明单位：在有效期内每年可发</w:t>
      </w:r>
      <w:r>
        <w:rPr>
          <w:rFonts w:ascii="仿宋" w:hAnsi="仿宋" w:eastAsia="仿宋" w:cs="仿宋"/>
          <w:sz w:val="32"/>
          <w:szCs w:val="32"/>
        </w:rPr>
        <w:t>1</w:t>
      </w:r>
      <w:r>
        <w:rPr>
          <w:rFonts w:hint="eastAsia" w:ascii="仿宋" w:hAnsi="仿宋" w:eastAsia="仿宋" w:cs="仿宋"/>
          <w:sz w:val="32"/>
          <w:szCs w:val="32"/>
        </w:rPr>
        <w:t>至</w:t>
      </w:r>
      <w:r>
        <w:rPr>
          <w:rFonts w:ascii="仿宋" w:hAnsi="仿宋" w:eastAsia="仿宋" w:cs="仿宋"/>
          <w:sz w:val="32"/>
          <w:szCs w:val="32"/>
        </w:rPr>
        <w:t>2</w:t>
      </w:r>
      <w:r>
        <w:rPr>
          <w:rFonts w:hint="eastAsia" w:ascii="仿宋" w:hAnsi="仿宋" w:eastAsia="仿宋" w:cs="仿宋"/>
          <w:sz w:val="32"/>
          <w:szCs w:val="32"/>
        </w:rPr>
        <w:t>个月基本工资奖励。</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（十一）先进个人奖励办法</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按照《中共中央组织部办公厅、人力资源社会保障部办公厅、财政部办公厅关于调整公务员奖励、奖金标准的通知》（人社厅发﹝</w:t>
      </w:r>
      <w:r>
        <w:rPr>
          <w:rFonts w:ascii="仿宋" w:hAnsi="仿宋" w:eastAsia="仿宋" w:cs="仿宋"/>
          <w:sz w:val="32"/>
          <w:szCs w:val="32"/>
        </w:rPr>
        <w:t>201</w:t>
      </w:r>
      <w:r>
        <w:rPr>
          <w:rFonts w:hint="eastAsia" w:ascii="仿宋" w:hAnsi="仿宋" w:eastAsia="仿宋" w:cs="仿宋"/>
          <w:sz w:val="32"/>
          <w:szCs w:val="32"/>
        </w:rPr>
        <w:t>8﹞1号）要求，严格执行奖励标准，在年度考核中，确定优秀等次的，给予嘉奖，颁发奖励证书和</w:t>
      </w:r>
      <w:r>
        <w:rPr>
          <w:rFonts w:ascii="仿宋" w:hAnsi="仿宋" w:eastAsia="仿宋" w:cs="仿宋"/>
          <w:sz w:val="32"/>
          <w:szCs w:val="32"/>
        </w:rPr>
        <w:t>1500</w:t>
      </w:r>
      <w:r>
        <w:rPr>
          <w:rFonts w:hint="eastAsia" w:ascii="仿宋" w:hAnsi="仿宋" w:eastAsia="仿宋" w:cs="仿宋"/>
          <w:sz w:val="32"/>
          <w:szCs w:val="32"/>
        </w:rPr>
        <w:t>元奖金；连续三年被确定为优秀等次的，记三等功，颁发奖励证书和</w:t>
      </w:r>
      <w:r>
        <w:rPr>
          <w:rFonts w:ascii="仿宋" w:hAnsi="仿宋" w:eastAsia="仿宋" w:cs="仿宋"/>
          <w:sz w:val="32"/>
          <w:szCs w:val="32"/>
        </w:rPr>
        <w:t>3000</w:t>
      </w:r>
      <w:r>
        <w:rPr>
          <w:rFonts w:hint="eastAsia" w:ascii="仿宋" w:hAnsi="仿宋" w:eastAsia="仿宋" w:cs="仿宋"/>
          <w:sz w:val="32"/>
          <w:szCs w:val="32"/>
        </w:rPr>
        <w:t>元奖金。</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（十二）工会经费支出范围和标准</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单位职工开展生产竞赛、文体活动、奖励、旅游、生日补助、职工福利、慰问等按照工会相关文件执行。</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未尽事宜，经请示报告区财务监督协调领导小组办公室批示后执行，本通知所涉事项如遇上级政策和标准调整时，按上级政策标准执行。</w:t>
      </w:r>
    </w:p>
    <w:p>
      <w:pPr>
        <w:spacing w:line="600" w:lineRule="exact"/>
        <w:ind w:right="640"/>
        <w:rPr>
          <w:rFonts w:ascii="仿宋" w:hAnsi="仿宋" w:eastAsia="仿宋" w:cs="仿宋"/>
          <w:sz w:val="32"/>
          <w:szCs w:val="32"/>
        </w:rPr>
      </w:pPr>
    </w:p>
    <w:p>
      <w:pPr>
        <w:spacing w:line="600" w:lineRule="exact"/>
        <w:ind w:right="640"/>
        <w:rPr>
          <w:rFonts w:ascii="仿宋" w:hAnsi="仿宋" w:eastAsia="仿宋" w:cs="仿宋"/>
          <w:sz w:val="32"/>
          <w:szCs w:val="32"/>
        </w:rPr>
      </w:pPr>
    </w:p>
    <w:p>
      <w:pPr>
        <w:spacing w:line="600" w:lineRule="exact"/>
        <w:ind w:right="106"/>
        <w:rPr>
          <w:rFonts w:ascii="仿宋" w:hAnsi="仿宋" w:eastAsia="仿宋" w:cs="仿宋"/>
          <w:sz w:val="32"/>
          <w:szCs w:val="32"/>
        </w:rPr>
      </w:pPr>
      <w:r>
        <w:rPr>
          <w:rFonts w:hint="eastAsia" w:ascii="仿宋" w:hAnsi="仿宋" w:eastAsia="仿宋" w:cs="仿宋"/>
          <w:sz w:val="32"/>
          <w:szCs w:val="32"/>
        </w:rPr>
        <w:t>岳阳市君山区财政局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岳阳市君山区审计局</w:t>
      </w:r>
    </w:p>
    <w:p>
      <w:pPr>
        <w:spacing w:line="600" w:lineRule="exact"/>
        <w:ind w:right="640"/>
        <w:rPr>
          <w:rFonts w:ascii="仿宋" w:hAnsi="仿宋" w:eastAsia="仿宋" w:cs="仿宋"/>
          <w:sz w:val="32"/>
          <w:szCs w:val="32"/>
        </w:rPr>
      </w:pPr>
    </w:p>
    <w:p>
      <w:pPr>
        <w:spacing w:line="600" w:lineRule="exact"/>
        <w:ind w:right="640"/>
        <w:rPr>
          <w:rFonts w:ascii="仿宋" w:hAnsi="仿宋" w:eastAsia="仿宋" w:cs="仿宋"/>
          <w:sz w:val="32"/>
          <w:szCs w:val="32"/>
        </w:rPr>
      </w:pPr>
    </w:p>
    <w:p>
      <w:pPr>
        <w:spacing w:line="600" w:lineRule="exact"/>
        <w:ind w:right="640"/>
        <w:rPr>
          <w:rFonts w:ascii="仿宋" w:hAnsi="仿宋" w:eastAsia="仿宋" w:cs="仿宋"/>
          <w:sz w:val="32"/>
          <w:szCs w:val="32"/>
        </w:rPr>
      </w:pPr>
      <w:r>
        <w:rPr>
          <w:rFonts w:hint="eastAsia" w:ascii="仿宋" w:hAnsi="仿宋" w:eastAsia="仿宋" w:cs="仿宋"/>
          <w:sz w:val="32"/>
          <w:szCs w:val="32"/>
        </w:rPr>
        <w:t>岳阳市君山区人力资源社会保障局</w:t>
      </w:r>
    </w:p>
    <w:p>
      <w:pPr>
        <w:spacing w:line="600" w:lineRule="exact"/>
        <w:ind w:right="640"/>
        <w:rPr>
          <w:rFonts w:ascii="仿宋" w:hAnsi="仿宋" w:eastAsia="仿宋" w:cs="仿宋"/>
          <w:sz w:val="32"/>
          <w:szCs w:val="32"/>
        </w:rPr>
      </w:pPr>
    </w:p>
    <w:p>
      <w:pPr>
        <w:spacing w:line="600" w:lineRule="exact"/>
        <w:ind w:right="640"/>
        <w:jc w:val="right"/>
        <w:rPr>
          <w:rFonts w:ascii="仿宋" w:hAnsi="仿宋" w:eastAsia="仿宋" w:cs="仿宋"/>
          <w:sz w:val="32"/>
          <w:szCs w:val="32"/>
        </w:rPr>
      </w:pPr>
    </w:p>
    <w:p>
      <w:pPr>
        <w:spacing w:line="600" w:lineRule="exact"/>
        <w:ind w:right="640"/>
        <w:jc w:val="right"/>
        <w:rPr>
          <w:rFonts w:ascii="仿宋" w:hAnsi="仿宋" w:eastAsia="仿宋" w:cs="仿宋"/>
          <w:sz w:val="32"/>
          <w:szCs w:val="32"/>
        </w:rPr>
      </w:pPr>
      <w:r>
        <w:rPr>
          <w:rFonts w:ascii="仿宋" w:hAnsi="仿宋" w:eastAsia="仿宋" w:cs="仿宋"/>
          <w:sz w:val="32"/>
          <w:szCs w:val="32"/>
        </w:rPr>
        <w:t xml:space="preserve">  2018</w:t>
      </w:r>
      <w:r>
        <w:rPr>
          <w:rFonts w:hint="eastAsia" w:ascii="仿宋" w:hAnsi="仿宋" w:eastAsia="仿宋" w:cs="仿宋"/>
          <w:sz w:val="32"/>
          <w:szCs w:val="32"/>
        </w:rPr>
        <w:t>年10月30日</w:t>
      </w:r>
    </w:p>
    <w:p>
      <w:pPr>
        <w:tabs>
          <w:tab w:val="left" w:pos="2296"/>
        </w:tabs>
        <w:snapToGrid w:val="0"/>
        <w:spacing w:line="670" w:lineRule="exact"/>
        <w:rPr>
          <w:rFonts w:ascii="黑体" w:eastAsia="黑体"/>
          <w:spacing w:val="3"/>
          <w:sz w:val="30"/>
          <w:szCs w:val="30"/>
        </w:rPr>
      </w:pPr>
    </w:p>
    <w:p>
      <w:pPr>
        <w:tabs>
          <w:tab w:val="left" w:pos="2296"/>
        </w:tabs>
        <w:snapToGrid w:val="0"/>
        <w:spacing w:line="670" w:lineRule="exact"/>
        <w:rPr>
          <w:rFonts w:ascii="黑体" w:eastAsia="黑体"/>
          <w:spacing w:val="3"/>
          <w:sz w:val="30"/>
          <w:szCs w:val="30"/>
        </w:rPr>
      </w:pPr>
    </w:p>
    <w:p>
      <w:pPr>
        <w:tabs>
          <w:tab w:val="left" w:pos="2296"/>
        </w:tabs>
        <w:snapToGrid w:val="0"/>
        <w:spacing w:line="670" w:lineRule="exact"/>
        <w:rPr>
          <w:rFonts w:ascii="黑体" w:eastAsia="黑体"/>
          <w:spacing w:val="3"/>
          <w:sz w:val="30"/>
          <w:szCs w:val="30"/>
        </w:rPr>
      </w:pPr>
    </w:p>
    <w:p>
      <w:pPr>
        <w:tabs>
          <w:tab w:val="left" w:pos="2296"/>
        </w:tabs>
        <w:snapToGrid w:val="0"/>
        <w:spacing w:line="670" w:lineRule="exact"/>
        <w:rPr>
          <w:rFonts w:ascii="黑体" w:eastAsia="黑体"/>
          <w:spacing w:val="3"/>
          <w:sz w:val="30"/>
          <w:szCs w:val="30"/>
        </w:rPr>
      </w:pPr>
    </w:p>
    <w:p>
      <w:pPr>
        <w:tabs>
          <w:tab w:val="left" w:pos="2296"/>
        </w:tabs>
        <w:snapToGrid w:val="0"/>
        <w:spacing w:line="670" w:lineRule="exact"/>
        <w:rPr>
          <w:rFonts w:ascii="黑体" w:eastAsia="黑体"/>
          <w:spacing w:val="3"/>
          <w:sz w:val="30"/>
          <w:szCs w:val="30"/>
        </w:rPr>
      </w:pPr>
    </w:p>
    <w:p>
      <w:pPr>
        <w:tabs>
          <w:tab w:val="left" w:pos="2296"/>
        </w:tabs>
        <w:snapToGrid w:val="0"/>
        <w:spacing w:line="670" w:lineRule="exact"/>
        <w:rPr>
          <w:rFonts w:ascii="黑体" w:eastAsia="黑体"/>
          <w:spacing w:val="3"/>
          <w:sz w:val="30"/>
          <w:szCs w:val="30"/>
        </w:rPr>
      </w:pPr>
    </w:p>
    <w:p>
      <w:pPr>
        <w:tabs>
          <w:tab w:val="left" w:pos="2296"/>
        </w:tabs>
        <w:snapToGrid w:val="0"/>
        <w:spacing w:line="670" w:lineRule="exact"/>
        <w:rPr>
          <w:rFonts w:ascii="黑体" w:eastAsia="黑体"/>
          <w:spacing w:val="3"/>
          <w:sz w:val="30"/>
          <w:szCs w:val="30"/>
        </w:rPr>
      </w:pPr>
    </w:p>
    <w:p>
      <w:pPr>
        <w:tabs>
          <w:tab w:val="left" w:pos="2296"/>
        </w:tabs>
        <w:snapToGrid w:val="0"/>
        <w:spacing w:line="670" w:lineRule="exact"/>
        <w:rPr>
          <w:rFonts w:ascii="黑体" w:eastAsia="黑体"/>
          <w:spacing w:val="3"/>
          <w:sz w:val="30"/>
          <w:szCs w:val="30"/>
        </w:rPr>
      </w:pPr>
    </w:p>
    <w:p>
      <w:pPr>
        <w:tabs>
          <w:tab w:val="left" w:pos="2296"/>
        </w:tabs>
        <w:snapToGrid w:val="0"/>
        <w:spacing w:line="670" w:lineRule="exact"/>
        <w:rPr>
          <w:rFonts w:ascii="黑体" w:eastAsia="黑体"/>
          <w:spacing w:val="3"/>
          <w:sz w:val="32"/>
          <w:szCs w:val="32"/>
        </w:rPr>
      </w:pPr>
      <w:r>
        <w:rPr>
          <w:rFonts w:hint="eastAsia" w:ascii="黑体" w:eastAsia="黑体"/>
          <w:spacing w:val="3"/>
          <w:sz w:val="30"/>
          <w:szCs w:val="30"/>
        </w:rPr>
        <w:t>附表</w:t>
      </w:r>
      <w:r>
        <w:rPr>
          <w:rFonts w:ascii="黑体" w:eastAsia="黑体"/>
          <w:spacing w:val="3"/>
          <w:sz w:val="32"/>
          <w:szCs w:val="32"/>
        </w:rPr>
        <w:t>1</w:t>
      </w:r>
      <w:r>
        <w:rPr>
          <w:rFonts w:hint="eastAsia" w:ascii="黑体" w:eastAsia="黑体"/>
          <w:spacing w:val="3"/>
          <w:sz w:val="32"/>
          <w:szCs w:val="32"/>
        </w:rPr>
        <w:t>：</w:t>
      </w:r>
    </w:p>
    <w:p>
      <w:pPr>
        <w:tabs>
          <w:tab w:val="left" w:pos="2296"/>
        </w:tabs>
        <w:snapToGrid w:val="0"/>
        <w:rPr>
          <w:rFonts w:eastAsia="仿宋_GB2312"/>
          <w:spacing w:val="3"/>
          <w:szCs w:val="21"/>
        </w:rPr>
      </w:pPr>
    </w:p>
    <w:p>
      <w:pPr>
        <w:tabs>
          <w:tab w:val="left" w:pos="2296"/>
        </w:tabs>
        <w:snapToGrid w:val="0"/>
        <w:jc w:val="center"/>
        <w:rPr>
          <w:rFonts w:ascii="方正小标宋简体" w:eastAsia="方正小标宋简体"/>
          <w:spacing w:val="3"/>
          <w:sz w:val="44"/>
          <w:szCs w:val="44"/>
        </w:rPr>
      </w:pPr>
      <w:r>
        <w:rPr>
          <w:rFonts w:hint="eastAsia" w:ascii="方正小标宋简体" w:eastAsia="方正小标宋简体"/>
          <w:spacing w:val="3"/>
          <w:sz w:val="44"/>
          <w:szCs w:val="44"/>
        </w:rPr>
        <w:t>岳阳市市直机关出差差旅费标准表</w:t>
      </w:r>
    </w:p>
    <w:p>
      <w:pPr>
        <w:tabs>
          <w:tab w:val="left" w:pos="2296"/>
        </w:tabs>
        <w:snapToGrid w:val="0"/>
        <w:rPr>
          <w:rFonts w:eastAsia="仿宋_GB2312"/>
          <w:spacing w:val="3"/>
          <w:sz w:val="36"/>
          <w:szCs w:val="36"/>
        </w:rPr>
      </w:pPr>
    </w:p>
    <w:p>
      <w:pPr>
        <w:widowControl/>
        <w:snapToGrid w:val="0"/>
        <w:jc w:val="right"/>
        <w:rPr>
          <w:rFonts w:ascii="宋体" w:cs="宋体"/>
          <w:kern w:val="0"/>
          <w:szCs w:val="21"/>
        </w:rPr>
      </w:pPr>
      <w:bookmarkStart w:id="0" w:name="2_1"/>
      <w:bookmarkEnd w:id="0"/>
      <w:bookmarkStart w:id="1" w:name="2_4"/>
      <w:bookmarkEnd w:id="1"/>
      <w:bookmarkStart w:id="2" w:name="sub12229335_2_3"/>
      <w:bookmarkEnd w:id="2"/>
      <w:bookmarkStart w:id="3" w:name="sub12229335_2_5"/>
      <w:bookmarkEnd w:id="3"/>
      <w:bookmarkStart w:id="4" w:name="2_2"/>
      <w:bookmarkEnd w:id="4"/>
      <w:bookmarkStart w:id="5" w:name="2_3"/>
      <w:bookmarkEnd w:id="5"/>
      <w:bookmarkStart w:id="6" w:name="2_6"/>
      <w:bookmarkEnd w:id="6"/>
      <w:bookmarkStart w:id="7" w:name="sub12229335_2_7"/>
      <w:bookmarkEnd w:id="7"/>
      <w:bookmarkStart w:id="8" w:name="sub12229335_2_4"/>
      <w:bookmarkEnd w:id="8"/>
      <w:bookmarkStart w:id="9" w:name="sub12229335_2_6"/>
      <w:bookmarkEnd w:id="9"/>
      <w:bookmarkStart w:id="10" w:name="sub12229335_2_2"/>
      <w:bookmarkEnd w:id="10"/>
      <w:bookmarkStart w:id="11" w:name="sub12229335_2_1"/>
      <w:bookmarkEnd w:id="11"/>
      <w:bookmarkStart w:id="12" w:name="ref_[1]_12229335"/>
      <w:bookmarkEnd w:id="12"/>
      <w:bookmarkStart w:id="13" w:name="2_7"/>
      <w:bookmarkEnd w:id="13"/>
      <w:bookmarkStart w:id="14" w:name="2_5"/>
      <w:bookmarkEnd w:id="14"/>
      <w:r>
        <w:rPr>
          <w:rFonts w:hint="eastAsia" w:ascii="宋体" w:hAnsi="宋体" w:cs="宋体"/>
          <w:kern w:val="0"/>
          <w:szCs w:val="21"/>
        </w:rPr>
        <w:t>金额单位：元</w:t>
      </w:r>
      <w:r>
        <w:rPr>
          <w:rFonts w:ascii="宋体" w:hAnsi="宋体" w:cs="宋体"/>
          <w:kern w:val="0"/>
          <w:szCs w:val="21"/>
        </w:rPr>
        <w:t>/</w:t>
      </w:r>
      <w:r>
        <w:rPr>
          <w:rFonts w:hint="eastAsia" w:ascii="宋体" w:hAnsi="宋体" w:cs="宋体"/>
          <w:kern w:val="0"/>
          <w:szCs w:val="21"/>
        </w:rPr>
        <w:t>人·天</w:t>
      </w:r>
    </w:p>
    <w:tbl>
      <w:tblPr>
        <w:tblStyle w:val="5"/>
        <w:tblW w:w="88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1196"/>
        <w:gridCol w:w="1497"/>
        <w:gridCol w:w="1676"/>
        <w:gridCol w:w="1835"/>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238" w:type="dxa"/>
            <w:vMerge w:val="restart"/>
            <w:vAlign w:val="center"/>
          </w:tcPr>
          <w:p>
            <w:pPr>
              <w:widowControl/>
              <w:snapToGrid w:val="0"/>
              <w:jc w:val="center"/>
              <w:rPr>
                <w:rFonts w:ascii="宋体" w:cs="宋体"/>
                <w:kern w:val="0"/>
                <w:sz w:val="28"/>
                <w:szCs w:val="28"/>
              </w:rPr>
            </w:pPr>
            <w:r>
              <w:rPr>
                <w:rFonts w:hint="eastAsia" w:ascii="宋体" w:hAnsi="宋体" w:cs="宋体"/>
                <w:kern w:val="0"/>
                <w:sz w:val="28"/>
                <w:szCs w:val="28"/>
              </w:rPr>
              <w:t>地区</w:t>
            </w:r>
          </w:p>
        </w:tc>
        <w:tc>
          <w:tcPr>
            <w:tcW w:w="4369" w:type="dxa"/>
            <w:gridSpan w:val="3"/>
            <w:vAlign w:val="center"/>
          </w:tcPr>
          <w:p>
            <w:pPr>
              <w:widowControl/>
              <w:snapToGrid w:val="0"/>
              <w:jc w:val="center"/>
              <w:rPr>
                <w:rFonts w:ascii="宋体" w:cs="宋体"/>
                <w:kern w:val="0"/>
                <w:sz w:val="28"/>
                <w:szCs w:val="28"/>
              </w:rPr>
            </w:pPr>
            <w:r>
              <w:rPr>
                <w:rFonts w:hint="eastAsia" w:ascii="宋体" w:hAnsi="宋体" w:cs="宋体"/>
                <w:kern w:val="0"/>
                <w:sz w:val="28"/>
                <w:szCs w:val="28"/>
              </w:rPr>
              <w:t>住宿费</w:t>
            </w:r>
          </w:p>
        </w:tc>
        <w:tc>
          <w:tcPr>
            <w:tcW w:w="1835" w:type="dxa"/>
            <w:vMerge w:val="restart"/>
            <w:vAlign w:val="center"/>
          </w:tcPr>
          <w:p>
            <w:pPr>
              <w:widowControl/>
              <w:snapToGrid w:val="0"/>
              <w:jc w:val="center"/>
              <w:rPr>
                <w:rFonts w:ascii="宋体" w:cs="宋体"/>
                <w:kern w:val="0"/>
                <w:sz w:val="28"/>
                <w:szCs w:val="28"/>
              </w:rPr>
            </w:pPr>
            <w:r>
              <w:rPr>
                <w:rFonts w:hint="eastAsia" w:ascii="宋体" w:hAnsi="宋体" w:cs="宋体"/>
                <w:kern w:val="0"/>
                <w:sz w:val="28"/>
                <w:szCs w:val="28"/>
              </w:rPr>
              <w:t>伙食补助费</w:t>
            </w:r>
          </w:p>
        </w:tc>
        <w:tc>
          <w:tcPr>
            <w:tcW w:w="1446" w:type="dxa"/>
            <w:vMerge w:val="restart"/>
            <w:vAlign w:val="center"/>
          </w:tcPr>
          <w:p>
            <w:pPr>
              <w:widowControl/>
              <w:snapToGrid w:val="0"/>
              <w:jc w:val="center"/>
              <w:rPr>
                <w:rFonts w:ascii="宋体" w:cs="宋体"/>
                <w:kern w:val="0"/>
                <w:sz w:val="28"/>
                <w:szCs w:val="28"/>
              </w:rPr>
            </w:pPr>
            <w:r>
              <w:rPr>
                <w:rFonts w:hint="eastAsia" w:ascii="宋体" w:hAnsi="宋体" w:cs="宋体"/>
                <w:kern w:val="0"/>
                <w:sz w:val="28"/>
                <w:szCs w:val="28"/>
              </w:rPr>
              <w:t>市内交通费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238" w:type="dxa"/>
            <w:vMerge w:val="continue"/>
            <w:vAlign w:val="center"/>
          </w:tcPr>
          <w:p>
            <w:pPr>
              <w:widowControl/>
              <w:snapToGrid w:val="0"/>
              <w:jc w:val="center"/>
              <w:rPr>
                <w:rFonts w:ascii="宋体" w:cs="宋体"/>
                <w:kern w:val="0"/>
                <w:sz w:val="28"/>
                <w:szCs w:val="28"/>
              </w:rPr>
            </w:pPr>
          </w:p>
        </w:tc>
        <w:tc>
          <w:tcPr>
            <w:tcW w:w="1196"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省部级</w:t>
            </w:r>
          </w:p>
        </w:tc>
        <w:tc>
          <w:tcPr>
            <w:tcW w:w="1497"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厅局级</w:t>
            </w:r>
          </w:p>
        </w:tc>
        <w:tc>
          <w:tcPr>
            <w:tcW w:w="1676"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其他人员</w:t>
            </w:r>
          </w:p>
        </w:tc>
        <w:tc>
          <w:tcPr>
            <w:tcW w:w="1835" w:type="dxa"/>
            <w:vMerge w:val="continue"/>
            <w:vAlign w:val="center"/>
          </w:tcPr>
          <w:p>
            <w:pPr>
              <w:widowControl/>
              <w:snapToGrid w:val="0"/>
              <w:jc w:val="center"/>
              <w:rPr>
                <w:rFonts w:ascii="宋体" w:cs="宋体"/>
                <w:kern w:val="0"/>
                <w:sz w:val="28"/>
                <w:szCs w:val="28"/>
              </w:rPr>
            </w:pPr>
          </w:p>
        </w:tc>
        <w:tc>
          <w:tcPr>
            <w:tcW w:w="1446" w:type="dxa"/>
            <w:vMerge w:val="continue"/>
            <w:vAlign w:val="center"/>
          </w:tcPr>
          <w:p>
            <w:pPr>
              <w:widowControl/>
              <w:snapToGrid w:val="0"/>
              <w:jc w:val="center"/>
              <w:rPr>
                <w:rFonts w:asci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北京</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500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350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widowControl/>
              <w:snapToGrid w:val="0"/>
              <w:jc w:val="center"/>
              <w:rPr>
                <w:rFonts w:ascii="宋体" w:cs="宋体"/>
                <w:kern w:val="0"/>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天津</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450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320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widowControl/>
              <w:snapToGrid w:val="0"/>
              <w:jc w:val="center"/>
              <w:rPr>
                <w:rFonts w:ascii="宋体" w:cs="宋体"/>
                <w:kern w:val="0"/>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河北</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450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310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widowControl/>
              <w:snapToGrid w:val="0"/>
              <w:jc w:val="center"/>
              <w:rPr>
                <w:rFonts w:ascii="宋体" w:cs="宋体"/>
                <w:kern w:val="0"/>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山西</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480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310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widowControl/>
              <w:snapToGrid w:val="0"/>
              <w:jc w:val="center"/>
              <w:rPr>
                <w:rFonts w:ascii="宋体" w:cs="宋体"/>
                <w:kern w:val="0"/>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内蒙古</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460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320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widowControl/>
              <w:snapToGrid w:val="0"/>
              <w:jc w:val="center"/>
              <w:rPr>
                <w:rFonts w:ascii="宋体" w:cs="宋体"/>
                <w:kern w:val="0"/>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辽宁</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480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330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widowControl/>
              <w:snapToGrid w:val="0"/>
              <w:jc w:val="center"/>
              <w:rPr>
                <w:rFonts w:ascii="宋体" w:cs="宋体"/>
                <w:kern w:val="0"/>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大连</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490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340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widowControl/>
              <w:snapToGrid w:val="0"/>
              <w:jc w:val="center"/>
              <w:rPr>
                <w:rFonts w:ascii="宋体" w:cs="宋体"/>
                <w:kern w:val="0"/>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吉林</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450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310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widowControl/>
              <w:snapToGrid w:val="0"/>
              <w:jc w:val="center"/>
              <w:rPr>
                <w:rFonts w:ascii="宋体" w:cs="宋体"/>
                <w:kern w:val="0"/>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黑龙江</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450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310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widowControl/>
              <w:snapToGrid w:val="0"/>
              <w:jc w:val="center"/>
              <w:rPr>
                <w:rFonts w:ascii="宋体" w:cs="宋体"/>
                <w:kern w:val="0"/>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上海</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500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350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widowControl/>
              <w:snapToGrid w:val="0"/>
              <w:jc w:val="center"/>
              <w:rPr>
                <w:rFonts w:ascii="宋体" w:cs="宋体"/>
                <w:kern w:val="0"/>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江苏</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490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340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widowControl/>
              <w:snapToGrid w:val="0"/>
              <w:jc w:val="center"/>
              <w:rPr>
                <w:rFonts w:ascii="宋体" w:cs="宋体"/>
                <w:kern w:val="0"/>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浙江</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490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340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widowControl/>
              <w:snapToGrid w:val="0"/>
              <w:jc w:val="center"/>
              <w:rPr>
                <w:rFonts w:ascii="宋体" w:cs="宋体"/>
                <w:kern w:val="0"/>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宁波</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450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330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widowControl/>
              <w:snapToGrid w:val="0"/>
              <w:jc w:val="center"/>
              <w:rPr>
                <w:rFonts w:ascii="宋体" w:cs="宋体"/>
                <w:kern w:val="0"/>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安徽</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460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310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widowControl/>
              <w:snapToGrid w:val="0"/>
              <w:jc w:val="center"/>
              <w:rPr>
                <w:rFonts w:ascii="宋体" w:cs="宋体"/>
                <w:kern w:val="0"/>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福建</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480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330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widowControl/>
              <w:snapToGrid w:val="0"/>
              <w:jc w:val="center"/>
              <w:rPr>
                <w:rFonts w:ascii="宋体" w:cs="宋体"/>
                <w:kern w:val="0"/>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厦门</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490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340</w:t>
            </w:r>
          </w:p>
        </w:tc>
        <w:tc>
          <w:tcPr>
            <w:tcW w:w="1835" w:type="dxa"/>
            <w:vAlign w:val="center"/>
          </w:tcPr>
          <w:p>
            <w:pPr>
              <w:snapToGrid w:val="0"/>
              <w:jc w:val="center"/>
              <w:rPr>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江西</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470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320</w:t>
            </w:r>
          </w:p>
        </w:tc>
        <w:tc>
          <w:tcPr>
            <w:tcW w:w="1835" w:type="dxa"/>
            <w:vAlign w:val="center"/>
          </w:tcPr>
          <w:p>
            <w:pPr>
              <w:snapToGrid w:val="0"/>
              <w:jc w:val="center"/>
              <w:rPr>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山东</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480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330</w:t>
            </w:r>
          </w:p>
        </w:tc>
        <w:tc>
          <w:tcPr>
            <w:tcW w:w="1835" w:type="dxa"/>
            <w:vAlign w:val="center"/>
          </w:tcPr>
          <w:p>
            <w:pPr>
              <w:snapToGrid w:val="0"/>
              <w:jc w:val="center"/>
              <w:rPr>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青岛</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490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340</w:t>
            </w:r>
          </w:p>
        </w:tc>
        <w:tc>
          <w:tcPr>
            <w:tcW w:w="1835" w:type="dxa"/>
            <w:vAlign w:val="center"/>
          </w:tcPr>
          <w:p>
            <w:pPr>
              <w:snapToGrid w:val="0"/>
              <w:jc w:val="center"/>
              <w:rPr>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河南</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480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330</w:t>
            </w:r>
          </w:p>
        </w:tc>
        <w:tc>
          <w:tcPr>
            <w:tcW w:w="1835" w:type="dxa"/>
            <w:vAlign w:val="center"/>
          </w:tcPr>
          <w:p>
            <w:pPr>
              <w:snapToGrid w:val="0"/>
              <w:jc w:val="center"/>
              <w:rPr>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湖北</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480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320</w:t>
            </w:r>
          </w:p>
        </w:tc>
        <w:tc>
          <w:tcPr>
            <w:tcW w:w="1835" w:type="dxa"/>
            <w:vAlign w:val="center"/>
          </w:tcPr>
          <w:p>
            <w:pPr>
              <w:snapToGrid w:val="0"/>
              <w:jc w:val="center"/>
              <w:rPr>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广东</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490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340</w:t>
            </w:r>
          </w:p>
        </w:tc>
        <w:tc>
          <w:tcPr>
            <w:tcW w:w="1835" w:type="dxa"/>
            <w:vAlign w:val="center"/>
          </w:tcPr>
          <w:p>
            <w:pPr>
              <w:snapToGrid w:val="0"/>
              <w:jc w:val="center"/>
              <w:rPr>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bl>
    <w:p>
      <w:pPr>
        <w:shd w:val="solid" w:color="FFFFFF" w:fill="auto"/>
        <w:autoSpaceDN w:val="0"/>
        <w:adjustRightInd w:val="0"/>
        <w:snapToGrid w:val="0"/>
        <w:rPr>
          <w:rFonts w:ascii="仿宋_GB2312" w:eastAsia="仿宋_GB2312"/>
          <w:spacing w:val="3"/>
          <w:sz w:val="28"/>
          <w:szCs w:val="28"/>
        </w:rPr>
      </w:pPr>
    </w:p>
    <w:tbl>
      <w:tblPr>
        <w:tblStyle w:val="5"/>
        <w:tblW w:w="88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1196"/>
        <w:gridCol w:w="1497"/>
        <w:gridCol w:w="1676"/>
        <w:gridCol w:w="1835"/>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238" w:type="dxa"/>
            <w:vMerge w:val="restart"/>
            <w:vAlign w:val="center"/>
          </w:tcPr>
          <w:p>
            <w:pPr>
              <w:widowControl/>
              <w:snapToGrid w:val="0"/>
              <w:jc w:val="center"/>
              <w:rPr>
                <w:rFonts w:ascii="宋体" w:cs="宋体"/>
                <w:kern w:val="0"/>
                <w:sz w:val="28"/>
                <w:szCs w:val="28"/>
              </w:rPr>
            </w:pPr>
            <w:r>
              <w:rPr>
                <w:rFonts w:hint="eastAsia" w:ascii="宋体" w:hAnsi="宋体" w:cs="宋体"/>
                <w:kern w:val="0"/>
                <w:sz w:val="28"/>
                <w:szCs w:val="28"/>
              </w:rPr>
              <w:t>地区</w:t>
            </w:r>
          </w:p>
        </w:tc>
        <w:tc>
          <w:tcPr>
            <w:tcW w:w="4369" w:type="dxa"/>
            <w:gridSpan w:val="3"/>
            <w:vAlign w:val="center"/>
          </w:tcPr>
          <w:p>
            <w:pPr>
              <w:widowControl/>
              <w:snapToGrid w:val="0"/>
              <w:jc w:val="center"/>
              <w:rPr>
                <w:rFonts w:ascii="宋体" w:cs="宋体"/>
                <w:kern w:val="0"/>
                <w:sz w:val="28"/>
                <w:szCs w:val="28"/>
              </w:rPr>
            </w:pPr>
            <w:r>
              <w:rPr>
                <w:rFonts w:hint="eastAsia" w:ascii="宋体" w:hAnsi="宋体" w:cs="宋体"/>
                <w:kern w:val="0"/>
                <w:sz w:val="28"/>
                <w:szCs w:val="28"/>
              </w:rPr>
              <w:t>住宿费</w:t>
            </w:r>
          </w:p>
        </w:tc>
        <w:tc>
          <w:tcPr>
            <w:tcW w:w="1835" w:type="dxa"/>
            <w:vMerge w:val="restart"/>
            <w:vAlign w:val="center"/>
          </w:tcPr>
          <w:p>
            <w:pPr>
              <w:widowControl/>
              <w:snapToGrid w:val="0"/>
              <w:jc w:val="center"/>
              <w:rPr>
                <w:rFonts w:ascii="宋体" w:cs="宋体"/>
                <w:kern w:val="0"/>
                <w:sz w:val="28"/>
                <w:szCs w:val="28"/>
              </w:rPr>
            </w:pPr>
            <w:r>
              <w:rPr>
                <w:rFonts w:hint="eastAsia" w:ascii="宋体" w:hAnsi="宋体" w:cs="宋体"/>
                <w:kern w:val="0"/>
                <w:sz w:val="28"/>
                <w:szCs w:val="28"/>
              </w:rPr>
              <w:t>伙食补助费</w:t>
            </w:r>
          </w:p>
        </w:tc>
        <w:tc>
          <w:tcPr>
            <w:tcW w:w="1446" w:type="dxa"/>
            <w:vMerge w:val="restart"/>
            <w:vAlign w:val="center"/>
          </w:tcPr>
          <w:p>
            <w:pPr>
              <w:widowControl/>
              <w:snapToGrid w:val="0"/>
              <w:jc w:val="center"/>
              <w:rPr>
                <w:rFonts w:ascii="宋体" w:cs="宋体"/>
                <w:kern w:val="0"/>
                <w:sz w:val="28"/>
                <w:szCs w:val="28"/>
              </w:rPr>
            </w:pPr>
            <w:r>
              <w:rPr>
                <w:rFonts w:hint="eastAsia" w:ascii="宋体" w:hAnsi="宋体" w:cs="宋体"/>
                <w:kern w:val="0"/>
                <w:sz w:val="28"/>
                <w:szCs w:val="28"/>
              </w:rPr>
              <w:t>市内交通费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1238" w:type="dxa"/>
            <w:vMerge w:val="continue"/>
            <w:vAlign w:val="center"/>
          </w:tcPr>
          <w:p>
            <w:pPr>
              <w:widowControl/>
              <w:snapToGrid w:val="0"/>
              <w:jc w:val="center"/>
              <w:rPr>
                <w:rFonts w:ascii="宋体" w:cs="宋体"/>
                <w:kern w:val="0"/>
                <w:sz w:val="28"/>
                <w:szCs w:val="28"/>
              </w:rPr>
            </w:pPr>
          </w:p>
        </w:tc>
        <w:tc>
          <w:tcPr>
            <w:tcW w:w="1196"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省部级</w:t>
            </w:r>
          </w:p>
        </w:tc>
        <w:tc>
          <w:tcPr>
            <w:tcW w:w="1497"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厅局级</w:t>
            </w:r>
          </w:p>
        </w:tc>
        <w:tc>
          <w:tcPr>
            <w:tcW w:w="1676"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其他人员</w:t>
            </w:r>
          </w:p>
        </w:tc>
        <w:tc>
          <w:tcPr>
            <w:tcW w:w="1835" w:type="dxa"/>
            <w:vMerge w:val="continue"/>
            <w:vAlign w:val="center"/>
          </w:tcPr>
          <w:p>
            <w:pPr>
              <w:widowControl/>
              <w:snapToGrid w:val="0"/>
              <w:jc w:val="center"/>
              <w:rPr>
                <w:rFonts w:ascii="宋体" w:cs="宋体"/>
                <w:kern w:val="0"/>
                <w:sz w:val="28"/>
                <w:szCs w:val="28"/>
              </w:rPr>
            </w:pPr>
          </w:p>
        </w:tc>
        <w:tc>
          <w:tcPr>
            <w:tcW w:w="1446" w:type="dxa"/>
            <w:vMerge w:val="continue"/>
            <w:vAlign w:val="center"/>
          </w:tcPr>
          <w:p>
            <w:pPr>
              <w:widowControl/>
              <w:snapToGrid w:val="0"/>
              <w:jc w:val="center"/>
              <w:rPr>
                <w:rFonts w:asci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深圳</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500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350</w:t>
            </w:r>
          </w:p>
        </w:tc>
        <w:tc>
          <w:tcPr>
            <w:tcW w:w="1835" w:type="dxa"/>
            <w:vAlign w:val="center"/>
          </w:tcPr>
          <w:p>
            <w:pPr>
              <w:snapToGrid w:val="0"/>
              <w:jc w:val="center"/>
              <w:rPr>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广西</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470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330</w:t>
            </w:r>
          </w:p>
        </w:tc>
        <w:tc>
          <w:tcPr>
            <w:tcW w:w="1835" w:type="dxa"/>
            <w:vAlign w:val="center"/>
          </w:tcPr>
          <w:p>
            <w:pPr>
              <w:snapToGrid w:val="0"/>
              <w:jc w:val="center"/>
              <w:rPr>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海南</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500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350</w:t>
            </w:r>
          </w:p>
        </w:tc>
        <w:tc>
          <w:tcPr>
            <w:tcW w:w="1835" w:type="dxa"/>
            <w:vAlign w:val="center"/>
          </w:tcPr>
          <w:p>
            <w:pPr>
              <w:snapToGrid w:val="0"/>
              <w:jc w:val="center"/>
              <w:rPr>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重庆</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480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330</w:t>
            </w:r>
          </w:p>
        </w:tc>
        <w:tc>
          <w:tcPr>
            <w:tcW w:w="1835" w:type="dxa"/>
            <w:vAlign w:val="center"/>
          </w:tcPr>
          <w:p>
            <w:pPr>
              <w:snapToGrid w:val="0"/>
              <w:jc w:val="center"/>
              <w:rPr>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四川</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470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320</w:t>
            </w:r>
          </w:p>
        </w:tc>
        <w:tc>
          <w:tcPr>
            <w:tcW w:w="1835" w:type="dxa"/>
            <w:vAlign w:val="center"/>
          </w:tcPr>
          <w:p>
            <w:pPr>
              <w:snapToGrid w:val="0"/>
              <w:jc w:val="center"/>
              <w:rPr>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贵州</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470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320</w:t>
            </w:r>
          </w:p>
        </w:tc>
        <w:tc>
          <w:tcPr>
            <w:tcW w:w="1835" w:type="dxa"/>
            <w:vAlign w:val="center"/>
          </w:tcPr>
          <w:p>
            <w:pPr>
              <w:snapToGrid w:val="0"/>
              <w:jc w:val="center"/>
              <w:rPr>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云南</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480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330</w:t>
            </w:r>
          </w:p>
        </w:tc>
        <w:tc>
          <w:tcPr>
            <w:tcW w:w="1835" w:type="dxa"/>
            <w:vAlign w:val="center"/>
          </w:tcPr>
          <w:p>
            <w:pPr>
              <w:snapToGrid w:val="0"/>
              <w:jc w:val="center"/>
              <w:rPr>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西藏</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500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350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120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陕西</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460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320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甘肃</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470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330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青海</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500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350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120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宁夏</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470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330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exac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新疆</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480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340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120</w:t>
            </w:r>
          </w:p>
        </w:tc>
        <w:tc>
          <w:tcPr>
            <w:tcW w:w="1446" w:type="dxa"/>
            <w:vAlign w:val="center"/>
          </w:tcPr>
          <w:p>
            <w:pPr>
              <w:snapToGrid w:val="0"/>
              <w:jc w:val="center"/>
              <w:rPr>
                <w:sz w:val="28"/>
                <w:szCs w:val="28"/>
              </w:rPr>
            </w:pPr>
            <w:r>
              <w:rPr>
                <w:rFonts w:ascii="宋体" w:hAnsi="宋体" w:cs="宋体"/>
                <w:kern w:val="0"/>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1238" w:type="dxa"/>
            <w:vAlign w:val="center"/>
          </w:tcPr>
          <w:p>
            <w:pPr>
              <w:widowControl/>
              <w:snapToGrid w:val="0"/>
              <w:jc w:val="center"/>
              <w:rPr>
                <w:rFonts w:ascii="宋体" w:cs="宋体"/>
                <w:kern w:val="0"/>
                <w:sz w:val="28"/>
                <w:szCs w:val="28"/>
              </w:rPr>
            </w:pPr>
            <w:r>
              <w:rPr>
                <w:rFonts w:hint="eastAsia" w:ascii="宋体" w:hAnsi="宋体" w:cs="宋体"/>
                <w:kern w:val="0"/>
                <w:sz w:val="28"/>
                <w:szCs w:val="28"/>
              </w:rPr>
              <w:t>省内其他市州及市辖县市</w:t>
            </w:r>
          </w:p>
        </w:tc>
        <w:tc>
          <w:tcPr>
            <w:tcW w:w="1196" w:type="dxa"/>
            <w:vAlign w:val="center"/>
          </w:tcPr>
          <w:p>
            <w:pPr>
              <w:widowControl/>
              <w:snapToGrid w:val="0"/>
              <w:jc w:val="center"/>
              <w:rPr>
                <w:rFonts w:ascii="宋体" w:cs="宋体"/>
                <w:kern w:val="0"/>
                <w:sz w:val="28"/>
                <w:szCs w:val="28"/>
              </w:rPr>
            </w:pPr>
            <w:r>
              <w:rPr>
                <w:rFonts w:ascii="宋体" w:hAnsi="宋体" w:cs="宋体"/>
                <w:kern w:val="0"/>
                <w:sz w:val="28"/>
                <w:szCs w:val="28"/>
              </w:rPr>
              <w:t>800</w:t>
            </w:r>
          </w:p>
        </w:tc>
        <w:tc>
          <w:tcPr>
            <w:tcW w:w="1497" w:type="dxa"/>
            <w:vAlign w:val="center"/>
          </w:tcPr>
          <w:p>
            <w:pPr>
              <w:widowControl/>
              <w:snapToGrid w:val="0"/>
              <w:jc w:val="center"/>
              <w:rPr>
                <w:rFonts w:ascii="宋体" w:cs="宋体"/>
                <w:kern w:val="0"/>
                <w:sz w:val="28"/>
                <w:szCs w:val="28"/>
              </w:rPr>
            </w:pPr>
            <w:r>
              <w:rPr>
                <w:rFonts w:ascii="宋体" w:hAnsi="宋体" w:cs="宋体"/>
                <w:kern w:val="0"/>
                <w:sz w:val="28"/>
                <w:szCs w:val="28"/>
              </w:rPr>
              <w:t>450</w:t>
            </w:r>
          </w:p>
        </w:tc>
        <w:tc>
          <w:tcPr>
            <w:tcW w:w="1676" w:type="dxa"/>
            <w:vAlign w:val="center"/>
          </w:tcPr>
          <w:p>
            <w:pPr>
              <w:widowControl/>
              <w:snapToGrid w:val="0"/>
              <w:jc w:val="center"/>
              <w:rPr>
                <w:rFonts w:ascii="宋体" w:cs="宋体"/>
                <w:kern w:val="0"/>
                <w:sz w:val="28"/>
                <w:szCs w:val="28"/>
              </w:rPr>
            </w:pPr>
            <w:r>
              <w:rPr>
                <w:rFonts w:ascii="宋体" w:hAnsi="宋体" w:cs="宋体"/>
                <w:kern w:val="0"/>
                <w:sz w:val="28"/>
                <w:szCs w:val="28"/>
              </w:rPr>
              <w:t>330</w:t>
            </w:r>
          </w:p>
        </w:tc>
        <w:tc>
          <w:tcPr>
            <w:tcW w:w="1835" w:type="dxa"/>
            <w:vAlign w:val="center"/>
          </w:tcPr>
          <w:p>
            <w:pPr>
              <w:widowControl/>
              <w:snapToGrid w:val="0"/>
              <w:jc w:val="center"/>
              <w:rPr>
                <w:rFonts w:ascii="宋体" w:cs="宋体"/>
                <w:kern w:val="0"/>
                <w:sz w:val="28"/>
                <w:szCs w:val="28"/>
              </w:rPr>
            </w:pPr>
            <w:r>
              <w:rPr>
                <w:rFonts w:ascii="宋体" w:hAnsi="宋体" w:cs="宋体"/>
                <w:kern w:val="0"/>
                <w:sz w:val="28"/>
                <w:szCs w:val="28"/>
              </w:rPr>
              <w:t>100</w:t>
            </w:r>
          </w:p>
        </w:tc>
        <w:tc>
          <w:tcPr>
            <w:tcW w:w="1446" w:type="dxa"/>
            <w:vAlign w:val="center"/>
          </w:tcPr>
          <w:p>
            <w:pPr>
              <w:snapToGrid w:val="0"/>
              <w:jc w:val="center"/>
              <w:rPr>
                <w:rFonts w:ascii="宋体" w:cs="宋体"/>
                <w:kern w:val="0"/>
                <w:sz w:val="28"/>
                <w:szCs w:val="28"/>
              </w:rPr>
            </w:pPr>
            <w:r>
              <w:rPr>
                <w:rFonts w:ascii="宋体" w:hAnsi="宋体" w:cs="宋体"/>
                <w:kern w:val="0"/>
                <w:sz w:val="28"/>
                <w:szCs w:val="28"/>
              </w:rPr>
              <w:t>80</w:t>
            </w:r>
          </w:p>
        </w:tc>
      </w:tr>
    </w:tbl>
    <w:p>
      <w:pPr>
        <w:shd w:val="solid" w:color="FFFFFF" w:fill="auto"/>
        <w:autoSpaceDN w:val="0"/>
        <w:adjustRightInd w:val="0"/>
        <w:snapToGrid w:val="0"/>
        <w:rPr>
          <w:rFonts w:ascii="仿宋_GB2312" w:eastAsia="仿宋_GB2312"/>
          <w:spacing w:val="3"/>
          <w:sz w:val="28"/>
          <w:szCs w:val="28"/>
        </w:rPr>
      </w:pPr>
    </w:p>
    <w:p>
      <w:pPr>
        <w:widowControl/>
        <w:snapToGrid w:val="0"/>
        <w:rPr>
          <w:rFonts w:ascii="宋体" w:cs="宋体"/>
          <w:kern w:val="0"/>
          <w:sz w:val="28"/>
          <w:szCs w:val="28"/>
        </w:rPr>
      </w:pPr>
      <w:r>
        <w:rPr>
          <w:rFonts w:hint="eastAsia" w:ascii="宋体" w:hAnsi="宋体" w:cs="宋体"/>
          <w:kern w:val="0"/>
          <w:sz w:val="28"/>
          <w:szCs w:val="28"/>
        </w:rPr>
        <w:t>注：到屈原管理区出差比照岳阳范围内县市标准执行。</w:t>
      </w:r>
    </w:p>
    <w:p>
      <w:pPr>
        <w:rPr>
          <w:sz w:val="28"/>
          <w:szCs w:val="28"/>
        </w:rPr>
      </w:pPr>
    </w:p>
    <w:p>
      <w:pPr>
        <w:rPr>
          <w:sz w:val="28"/>
          <w:szCs w:val="28"/>
        </w:rPr>
      </w:pPr>
    </w:p>
    <w:p>
      <w:pPr>
        <w:rPr>
          <w:sz w:val="28"/>
          <w:szCs w:val="28"/>
        </w:rPr>
      </w:pPr>
    </w:p>
    <w:p/>
    <w:p/>
    <w:p/>
    <w:p/>
    <w:p/>
    <w:p/>
    <w:p/>
    <w:p>
      <w:pPr>
        <w:spacing w:line="600" w:lineRule="exact"/>
        <w:ind w:right="640"/>
        <w:rPr>
          <w:rFonts w:ascii="??_GB2312"/>
          <w:sz w:val="30"/>
          <w:szCs w:val="30"/>
        </w:rPr>
      </w:pPr>
      <w:r>
        <w:rPr>
          <w:rFonts w:ascii="??_GB2312" w:eastAsia="Times New Roman"/>
          <w:sz w:val="30"/>
          <w:szCs w:val="30"/>
        </w:rPr>
        <w:t>附表</w:t>
      </w:r>
      <w:r>
        <w:rPr>
          <w:rFonts w:ascii="??_GB2312"/>
          <w:sz w:val="30"/>
          <w:szCs w:val="30"/>
        </w:rPr>
        <w:t>2</w:t>
      </w:r>
      <w:r>
        <w:rPr>
          <w:rFonts w:hint="eastAsia" w:ascii="??_GB2312"/>
          <w:sz w:val="30"/>
          <w:szCs w:val="30"/>
        </w:rPr>
        <w:t>：</w:t>
      </w:r>
    </w:p>
    <w:tbl>
      <w:tblPr>
        <w:tblStyle w:val="5"/>
        <w:tblW w:w="8400" w:type="dxa"/>
        <w:tblInd w:w="91" w:type="dxa"/>
        <w:tblLayout w:type="fixed"/>
        <w:tblCellMar>
          <w:top w:w="0" w:type="dxa"/>
          <w:left w:w="108" w:type="dxa"/>
          <w:bottom w:w="0" w:type="dxa"/>
          <w:right w:w="108" w:type="dxa"/>
        </w:tblCellMar>
      </w:tblPr>
      <w:tblGrid>
        <w:gridCol w:w="3231"/>
        <w:gridCol w:w="969"/>
        <w:gridCol w:w="3231"/>
        <w:gridCol w:w="969"/>
      </w:tblGrid>
      <w:tr>
        <w:tblPrEx>
          <w:tblLayout w:type="fixed"/>
          <w:tblCellMar>
            <w:top w:w="0" w:type="dxa"/>
            <w:left w:w="108" w:type="dxa"/>
            <w:bottom w:w="0" w:type="dxa"/>
            <w:right w:w="108" w:type="dxa"/>
          </w:tblCellMar>
        </w:tblPrEx>
        <w:trPr>
          <w:trHeight w:val="80" w:hRule="atLeast"/>
        </w:trPr>
        <w:tc>
          <w:tcPr>
            <w:tcW w:w="8400" w:type="dxa"/>
            <w:gridSpan w:val="4"/>
            <w:tcBorders>
              <w:top w:val="nil"/>
              <w:left w:val="nil"/>
              <w:bottom w:val="single" w:color="auto" w:sz="4" w:space="0"/>
              <w:right w:val="nil"/>
            </w:tcBorders>
            <w:vAlign w:val="bottom"/>
          </w:tcPr>
          <w:p>
            <w:pPr>
              <w:widowControl/>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区内出差市内交通费补助标准</w:t>
            </w:r>
          </w:p>
          <w:p>
            <w:pPr>
              <w:widowControl/>
              <w:jc w:val="right"/>
              <w:rPr>
                <w:rFonts w:ascii="方正小标宋简体" w:hAnsi="方正小标宋简体" w:eastAsia="方正小标宋简体" w:cs="方正小标宋简体"/>
                <w:kern w:val="0"/>
                <w:sz w:val="44"/>
                <w:szCs w:val="44"/>
              </w:rPr>
            </w:pPr>
            <w:r>
              <w:rPr>
                <w:rFonts w:hint="eastAsia" w:ascii="宋体" w:hAnsi="宋体" w:cs="宋体"/>
                <w:kern w:val="0"/>
                <w:sz w:val="24"/>
              </w:rPr>
              <w:t>单位：元</w:t>
            </w:r>
          </w:p>
        </w:tc>
      </w:tr>
      <w:tr>
        <w:tblPrEx>
          <w:tblLayout w:type="fixed"/>
          <w:tblCellMar>
            <w:top w:w="0" w:type="dxa"/>
            <w:left w:w="108" w:type="dxa"/>
            <w:bottom w:w="0" w:type="dxa"/>
            <w:right w:w="108" w:type="dxa"/>
          </w:tblCellMar>
        </w:tblPrEx>
        <w:trPr>
          <w:trHeight w:val="809" w:hRule="atLeast"/>
        </w:trPr>
        <w:tc>
          <w:tcPr>
            <w:tcW w:w="3231"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区域</w:t>
            </w:r>
          </w:p>
        </w:tc>
        <w:tc>
          <w:tcPr>
            <w:tcW w:w="969"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标准</w:t>
            </w:r>
          </w:p>
        </w:tc>
        <w:tc>
          <w:tcPr>
            <w:tcW w:w="3231"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区域</w:t>
            </w:r>
          </w:p>
        </w:tc>
        <w:tc>
          <w:tcPr>
            <w:tcW w:w="969"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标准</w:t>
            </w:r>
          </w:p>
        </w:tc>
      </w:tr>
      <w:tr>
        <w:tblPrEx>
          <w:tblLayout w:type="fixed"/>
          <w:tblCellMar>
            <w:top w:w="0" w:type="dxa"/>
            <w:left w:w="108" w:type="dxa"/>
            <w:bottom w:w="0" w:type="dxa"/>
            <w:right w:w="108" w:type="dxa"/>
          </w:tblCellMar>
        </w:tblPrEx>
        <w:trPr>
          <w:trHeight w:val="629" w:hRule="atLeast"/>
        </w:trPr>
        <w:tc>
          <w:tcPr>
            <w:tcW w:w="3231"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中心城区</w:t>
            </w:r>
            <w:r>
              <w:rPr>
                <w:rFonts w:ascii="宋体" w:cs="宋体"/>
                <w:kern w:val="0"/>
                <w:sz w:val="24"/>
              </w:rPr>
              <w:t>----</w:t>
            </w:r>
            <w:r>
              <w:rPr>
                <w:rFonts w:hint="eastAsia" w:ascii="宋体" w:hAnsi="宋体" w:cs="宋体"/>
                <w:kern w:val="0"/>
                <w:sz w:val="24"/>
              </w:rPr>
              <w:t>良心堡</w:t>
            </w:r>
          </w:p>
        </w:tc>
        <w:tc>
          <w:tcPr>
            <w:tcW w:w="969"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ascii="宋体" w:hAnsi="宋体" w:cs="宋体"/>
                <w:kern w:val="0"/>
                <w:sz w:val="24"/>
              </w:rPr>
              <w:t>40</w:t>
            </w:r>
          </w:p>
        </w:tc>
        <w:tc>
          <w:tcPr>
            <w:tcW w:w="3231"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中心城区</w:t>
            </w:r>
            <w:r>
              <w:rPr>
                <w:rFonts w:ascii="宋体" w:cs="宋体"/>
                <w:kern w:val="0"/>
                <w:sz w:val="24"/>
              </w:rPr>
              <w:t>----</w:t>
            </w:r>
            <w:r>
              <w:rPr>
                <w:rFonts w:hint="eastAsia" w:ascii="宋体" w:hAnsi="宋体" w:cs="宋体"/>
                <w:kern w:val="0"/>
                <w:sz w:val="24"/>
              </w:rPr>
              <w:t>广兴洲</w:t>
            </w:r>
          </w:p>
        </w:tc>
        <w:tc>
          <w:tcPr>
            <w:tcW w:w="969"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ascii="宋体" w:hAnsi="宋体" w:cs="宋体"/>
                <w:kern w:val="0"/>
                <w:sz w:val="24"/>
              </w:rPr>
              <w:t>20</w:t>
            </w:r>
          </w:p>
        </w:tc>
      </w:tr>
      <w:tr>
        <w:tblPrEx>
          <w:tblLayout w:type="fixed"/>
          <w:tblCellMar>
            <w:top w:w="0" w:type="dxa"/>
            <w:left w:w="108" w:type="dxa"/>
            <w:bottom w:w="0" w:type="dxa"/>
            <w:right w:w="108" w:type="dxa"/>
          </w:tblCellMar>
        </w:tblPrEx>
        <w:trPr>
          <w:trHeight w:val="617" w:hRule="atLeast"/>
        </w:trPr>
        <w:tc>
          <w:tcPr>
            <w:tcW w:w="3231"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中心城区</w:t>
            </w:r>
            <w:r>
              <w:rPr>
                <w:rFonts w:ascii="宋体" w:cs="宋体"/>
                <w:kern w:val="0"/>
                <w:sz w:val="24"/>
              </w:rPr>
              <w:t>----</w:t>
            </w:r>
            <w:r>
              <w:rPr>
                <w:rFonts w:hint="eastAsia" w:ascii="宋体" w:hAnsi="宋体" w:cs="宋体"/>
                <w:kern w:val="0"/>
                <w:sz w:val="24"/>
              </w:rPr>
              <w:t>钱粮湖</w:t>
            </w:r>
          </w:p>
        </w:tc>
        <w:tc>
          <w:tcPr>
            <w:tcW w:w="969"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ascii="宋体" w:hAnsi="宋体" w:cs="宋体"/>
                <w:kern w:val="0"/>
                <w:sz w:val="24"/>
              </w:rPr>
              <w:t>30</w:t>
            </w:r>
          </w:p>
        </w:tc>
        <w:tc>
          <w:tcPr>
            <w:tcW w:w="3231"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中心城区</w:t>
            </w:r>
            <w:r>
              <w:rPr>
                <w:rFonts w:ascii="宋体" w:cs="宋体"/>
                <w:kern w:val="0"/>
                <w:sz w:val="24"/>
              </w:rPr>
              <w:t>----</w:t>
            </w:r>
            <w:r>
              <w:rPr>
                <w:rFonts w:hint="eastAsia" w:ascii="宋体" w:hAnsi="宋体" w:cs="宋体"/>
                <w:kern w:val="0"/>
                <w:sz w:val="24"/>
              </w:rPr>
              <w:t>许市</w:t>
            </w:r>
          </w:p>
        </w:tc>
        <w:tc>
          <w:tcPr>
            <w:tcW w:w="969"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ascii="宋体" w:hAnsi="宋体" w:cs="宋体"/>
                <w:kern w:val="0"/>
                <w:sz w:val="24"/>
              </w:rPr>
              <w:t>20</w:t>
            </w:r>
          </w:p>
        </w:tc>
      </w:tr>
      <w:tr>
        <w:tblPrEx>
          <w:tblLayout w:type="fixed"/>
          <w:tblCellMar>
            <w:top w:w="0" w:type="dxa"/>
            <w:left w:w="108" w:type="dxa"/>
            <w:bottom w:w="0" w:type="dxa"/>
            <w:right w:w="108" w:type="dxa"/>
          </w:tblCellMar>
        </w:tblPrEx>
        <w:trPr>
          <w:trHeight w:val="761" w:hRule="atLeast"/>
        </w:trPr>
        <w:tc>
          <w:tcPr>
            <w:tcW w:w="3231"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4"/>
              </w:rPr>
            </w:pPr>
          </w:p>
        </w:tc>
        <w:tc>
          <w:tcPr>
            <w:tcW w:w="969" w:type="dxa"/>
            <w:tcBorders>
              <w:top w:val="nil"/>
              <w:left w:val="nil"/>
              <w:bottom w:val="single" w:color="auto" w:sz="4" w:space="0"/>
              <w:right w:val="single" w:color="auto" w:sz="4" w:space="0"/>
            </w:tcBorders>
            <w:vAlign w:val="center"/>
          </w:tcPr>
          <w:p>
            <w:pPr>
              <w:widowControl/>
              <w:jc w:val="center"/>
              <w:rPr>
                <w:rFonts w:ascii="宋体" w:cs="宋体"/>
                <w:kern w:val="0"/>
                <w:sz w:val="24"/>
              </w:rPr>
            </w:pPr>
          </w:p>
        </w:tc>
        <w:tc>
          <w:tcPr>
            <w:tcW w:w="3231" w:type="dxa"/>
            <w:tcBorders>
              <w:top w:val="nil"/>
              <w:left w:val="nil"/>
              <w:bottom w:val="single" w:color="auto" w:sz="4" w:space="0"/>
              <w:right w:val="single" w:color="auto" w:sz="4" w:space="0"/>
            </w:tcBorders>
            <w:vAlign w:val="center"/>
          </w:tcPr>
          <w:p>
            <w:pPr>
              <w:widowControl/>
              <w:jc w:val="center"/>
              <w:rPr>
                <w:rFonts w:ascii="宋体" w:cs="宋体"/>
                <w:kern w:val="0"/>
                <w:sz w:val="24"/>
              </w:rPr>
            </w:pPr>
          </w:p>
        </w:tc>
        <w:tc>
          <w:tcPr>
            <w:tcW w:w="969" w:type="dxa"/>
            <w:tcBorders>
              <w:top w:val="nil"/>
              <w:left w:val="nil"/>
              <w:bottom w:val="single" w:color="auto" w:sz="4" w:space="0"/>
              <w:right w:val="single" w:color="auto" w:sz="4" w:space="0"/>
            </w:tcBorders>
            <w:vAlign w:val="center"/>
          </w:tcPr>
          <w:p>
            <w:pPr>
              <w:widowControl/>
              <w:jc w:val="center"/>
              <w:rPr>
                <w:rFonts w:ascii="宋体" w:cs="宋体"/>
                <w:kern w:val="0"/>
                <w:sz w:val="24"/>
              </w:rPr>
            </w:pPr>
          </w:p>
        </w:tc>
      </w:tr>
      <w:tr>
        <w:tblPrEx>
          <w:tblLayout w:type="fixed"/>
          <w:tblCellMar>
            <w:top w:w="0" w:type="dxa"/>
            <w:left w:w="108" w:type="dxa"/>
            <w:bottom w:w="0" w:type="dxa"/>
            <w:right w:w="108" w:type="dxa"/>
          </w:tblCellMar>
        </w:tblPrEx>
        <w:trPr>
          <w:trHeight w:val="585" w:hRule="atLeast"/>
        </w:trPr>
        <w:tc>
          <w:tcPr>
            <w:tcW w:w="8400" w:type="dxa"/>
            <w:gridSpan w:val="4"/>
            <w:tcBorders>
              <w:top w:val="single" w:color="auto" w:sz="4" w:space="0"/>
              <w:bottom w:val="nil"/>
              <w:right w:val="nil"/>
            </w:tcBorders>
            <w:vAlign w:val="bottom"/>
          </w:tcPr>
          <w:p>
            <w:pPr>
              <w:widowControl/>
              <w:jc w:val="left"/>
              <w:rPr>
                <w:rFonts w:ascii="宋体" w:cs="宋体"/>
                <w:kern w:val="0"/>
                <w:sz w:val="24"/>
              </w:rPr>
            </w:pPr>
            <w:r>
              <w:rPr>
                <w:rFonts w:hint="eastAsia" w:ascii="宋体" w:hAnsi="宋体" w:cs="宋体"/>
                <w:kern w:val="0"/>
                <w:sz w:val="24"/>
              </w:rPr>
              <w:t>备注：上述为每人每次的补助标准（包含往返）不包含工作人员上下班途中的补助</w:t>
            </w:r>
            <w:r>
              <w:rPr>
                <w:rFonts w:ascii="宋体" w:hAnsi="宋体" w:cs="宋体"/>
                <w:kern w:val="0"/>
                <w:sz w:val="24"/>
              </w:rPr>
              <w:t>(</w:t>
            </w:r>
            <w:r>
              <w:rPr>
                <w:rFonts w:hint="eastAsia" w:ascii="宋体" w:hAnsi="宋体" w:cs="hakuyoxingshu7000"/>
                <w:kern w:val="0"/>
                <w:sz w:val="24"/>
              </w:rPr>
              <w:t>同一天内，以最终目的地作为补助依据，不重申报补助</w:t>
            </w:r>
            <w:r>
              <w:rPr>
                <w:rFonts w:ascii="宋体" w:hAnsi="宋体" w:cs="hakuyoxingshu7000"/>
                <w:kern w:val="0"/>
                <w:sz w:val="24"/>
              </w:rPr>
              <w:t>)</w:t>
            </w:r>
            <w:r>
              <w:rPr>
                <w:rFonts w:hint="eastAsia" w:ascii="宋体" w:hAnsi="宋体" w:cs="宋体"/>
                <w:kern w:val="0"/>
                <w:sz w:val="24"/>
              </w:rPr>
              <w:t>。</w:t>
            </w:r>
          </w:p>
        </w:tc>
      </w:tr>
    </w:tbl>
    <w:p>
      <w:pPr>
        <w:spacing w:line="600" w:lineRule="exact"/>
        <w:rPr>
          <w:rFonts w:ascii="仿宋" w:hAnsi="仿宋" w:eastAsia="仿宋" w:cs="仿宋"/>
          <w:sz w:val="30"/>
          <w:szCs w:val="30"/>
        </w:rPr>
      </w:pPr>
    </w:p>
    <w:p>
      <w:pPr>
        <w:spacing w:line="600" w:lineRule="exact"/>
        <w:ind w:right="640"/>
        <w:jc w:val="left"/>
        <w:rPr>
          <w:rFonts w:ascii="??_GB2312"/>
          <w:sz w:val="30"/>
          <w:szCs w:val="30"/>
        </w:rPr>
      </w:pPr>
      <w:r>
        <w:rPr>
          <w:rFonts w:hint="eastAsia" w:ascii="??_GB2312"/>
          <w:sz w:val="30"/>
          <w:szCs w:val="30"/>
        </w:rPr>
        <w:t>附表</w:t>
      </w:r>
      <w:r>
        <w:rPr>
          <w:rFonts w:ascii="??_GB2312"/>
          <w:sz w:val="30"/>
          <w:szCs w:val="30"/>
        </w:rPr>
        <w:t>3</w:t>
      </w:r>
      <w:r>
        <w:rPr>
          <w:rFonts w:hint="eastAsia" w:ascii="??_GB2312"/>
          <w:sz w:val="30"/>
          <w:szCs w:val="30"/>
        </w:rPr>
        <w:t>：</w:t>
      </w:r>
    </w:p>
    <w:tbl>
      <w:tblPr>
        <w:tblStyle w:val="5"/>
        <w:tblW w:w="8540" w:type="dxa"/>
        <w:tblInd w:w="91" w:type="dxa"/>
        <w:tblLayout w:type="fixed"/>
        <w:tblCellMar>
          <w:top w:w="0" w:type="dxa"/>
          <w:left w:w="108" w:type="dxa"/>
          <w:bottom w:w="0" w:type="dxa"/>
          <w:right w:w="108" w:type="dxa"/>
        </w:tblCellMar>
      </w:tblPr>
      <w:tblGrid>
        <w:gridCol w:w="2285"/>
        <w:gridCol w:w="1295"/>
        <w:gridCol w:w="1480"/>
        <w:gridCol w:w="1440"/>
        <w:gridCol w:w="2040"/>
      </w:tblGrid>
      <w:tr>
        <w:tblPrEx>
          <w:tblLayout w:type="fixed"/>
          <w:tblCellMar>
            <w:top w:w="0" w:type="dxa"/>
            <w:left w:w="108" w:type="dxa"/>
            <w:bottom w:w="0" w:type="dxa"/>
            <w:right w:w="108" w:type="dxa"/>
          </w:tblCellMar>
        </w:tblPrEx>
        <w:trPr>
          <w:trHeight w:val="780" w:hRule="atLeast"/>
        </w:trPr>
        <w:tc>
          <w:tcPr>
            <w:tcW w:w="8540" w:type="dxa"/>
            <w:gridSpan w:val="5"/>
            <w:tcBorders>
              <w:top w:val="nil"/>
              <w:left w:val="nil"/>
              <w:bottom w:val="nil"/>
              <w:right w:val="nil"/>
            </w:tcBorders>
            <w:vAlign w:val="bottom"/>
          </w:tcPr>
          <w:p>
            <w:pPr>
              <w:widowControl/>
              <w:jc w:val="center"/>
              <w:rPr>
                <w:rFonts w:ascii="宋体" w:cs="宋体"/>
                <w:kern w:val="0"/>
                <w:sz w:val="36"/>
                <w:szCs w:val="36"/>
              </w:rPr>
            </w:pPr>
            <w:r>
              <w:rPr>
                <w:rFonts w:hint="eastAsia" w:ascii="方正小标宋简体" w:hAnsi="方正小标宋简体" w:eastAsia="方正小标宋简体" w:cs="方正小标宋简体"/>
                <w:kern w:val="0"/>
                <w:sz w:val="44"/>
                <w:szCs w:val="44"/>
              </w:rPr>
              <w:t>君山区XXX公务接待用餐申请单（样表）</w:t>
            </w:r>
          </w:p>
        </w:tc>
      </w:tr>
      <w:tr>
        <w:tblPrEx>
          <w:tblLayout w:type="fixed"/>
          <w:tblCellMar>
            <w:top w:w="0" w:type="dxa"/>
            <w:left w:w="108" w:type="dxa"/>
            <w:bottom w:w="0" w:type="dxa"/>
            <w:right w:w="108" w:type="dxa"/>
          </w:tblCellMar>
        </w:tblPrEx>
        <w:trPr>
          <w:trHeight w:val="420" w:hRule="atLeast"/>
        </w:trPr>
        <w:tc>
          <w:tcPr>
            <w:tcW w:w="8540" w:type="dxa"/>
            <w:gridSpan w:val="5"/>
            <w:tcBorders>
              <w:top w:val="nil"/>
              <w:left w:val="nil"/>
              <w:bottom w:val="single" w:color="auto" w:sz="8" w:space="0"/>
              <w:right w:val="nil"/>
            </w:tcBorders>
            <w:vAlign w:val="bottom"/>
          </w:tcPr>
          <w:p>
            <w:pPr>
              <w:widowControl/>
              <w:jc w:val="center"/>
              <w:rPr>
                <w:rFonts w:ascii="宋体" w:cs="宋体"/>
                <w:kern w:val="0"/>
                <w:sz w:val="30"/>
                <w:szCs w:val="30"/>
              </w:rPr>
            </w:pPr>
            <w:r>
              <w:rPr>
                <w:rFonts w:hint="eastAsia" w:ascii="宋体" w:hAnsi="宋体" w:cs="宋体"/>
                <w:kern w:val="0"/>
                <w:sz w:val="30"/>
                <w:szCs w:val="30"/>
              </w:rPr>
              <w:t>填表日期：年月日</w:t>
            </w:r>
          </w:p>
        </w:tc>
      </w:tr>
      <w:tr>
        <w:tblPrEx>
          <w:tblLayout w:type="fixed"/>
          <w:tblCellMar>
            <w:top w:w="0" w:type="dxa"/>
            <w:left w:w="108" w:type="dxa"/>
            <w:bottom w:w="0" w:type="dxa"/>
            <w:right w:w="108" w:type="dxa"/>
          </w:tblCellMar>
        </w:tblPrEx>
        <w:trPr>
          <w:trHeight w:val="510" w:hRule="atLeast"/>
        </w:trPr>
        <w:tc>
          <w:tcPr>
            <w:tcW w:w="2285" w:type="dxa"/>
            <w:tcBorders>
              <w:top w:val="nil"/>
              <w:left w:val="single" w:color="auto" w:sz="8" w:space="0"/>
              <w:bottom w:val="single" w:color="auto" w:sz="8" w:space="0"/>
              <w:right w:val="single" w:color="auto" w:sz="8" w:space="0"/>
            </w:tcBorders>
          </w:tcPr>
          <w:p>
            <w:pPr>
              <w:widowControl/>
              <w:jc w:val="center"/>
              <w:rPr>
                <w:rFonts w:ascii="宋体" w:cs="宋体"/>
                <w:kern w:val="0"/>
                <w:sz w:val="28"/>
                <w:szCs w:val="28"/>
              </w:rPr>
            </w:pPr>
            <w:r>
              <w:rPr>
                <w:rFonts w:hint="eastAsia" w:ascii="宋体" w:hAnsi="宋体" w:cs="宋体"/>
                <w:kern w:val="0"/>
                <w:sz w:val="28"/>
                <w:szCs w:val="28"/>
              </w:rPr>
              <w:t>申请单位</w:t>
            </w:r>
            <w:r>
              <w:rPr>
                <w:rFonts w:ascii="宋体" w:hAnsi="宋体" w:cs="宋体"/>
                <w:kern w:val="0"/>
                <w:sz w:val="28"/>
                <w:szCs w:val="28"/>
              </w:rPr>
              <w:t>(</w:t>
            </w:r>
            <w:r>
              <w:rPr>
                <w:rFonts w:hint="eastAsia" w:ascii="宋体" w:hAnsi="宋体" w:cs="宋体"/>
                <w:kern w:val="0"/>
                <w:sz w:val="28"/>
                <w:szCs w:val="28"/>
              </w:rPr>
              <w:t>部门</w:t>
            </w:r>
            <w:r>
              <w:rPr>
                <w:rFonts w:ascii="宋体" w:hAnsi="宋体" w:cs="宋体"/>
                <w:kern w:val="0"/>
                <w:sz w:val="28"/>
                <w:szCs w:val="28"/>
              </w:rPr>
              <w:t>)</w:t>
            </w:r>
          </w:p>
        </w:tc>
        <w:tc>
          <w:tcPr>
            <w:tcW w:w="6255" w:type="dxa"/>
            <w:gridSpan w:val="4"/>
            <w:tcBorders>
              <w:top w:val="single" w:color="auto" w:sz="8" w:space="0"/>
              <w:left w:val="nil"/>
              <w:bottom w:val="single" w:color="auto" w:sz="8" w:space="0"/>
              <w:right w:val="single" w:color="000000" w:sz="8" w:space="0"/>
            </w:tcBorders>
          </w:tcPr>
          <w:p>
            <w:pPr>
              <w:widowControl/>
              <w:rPr>
                <w:rFonts w:ascii="??_GB2312" w:hAnsi="??_GB2312" w:cs="宋体"/>
                <w:kern w:val="0"/>
                <w:sz w:val="28"/>
                <w:szCs w:val="28"/>
              </w:rPr>
            </w:pPr>
            <w:r>
              <w:rPr>
                <w:rFonts w:hint="eastAsia" w:ascii="??_GB2312" w:hAnsi="??_GB2312" w:cs="宋体"/>
                <w:kern w:val="0"/>
                <w:sz w:val="28"/>
                <w:szCs w:val="28"/>
              </w:rPr>
              <w:t>　</w:t>
            </w:r>
          </w:p>
        </w:tc>
      </w:tr>
      <w:tr>
        <w:tblPrEx>
          <w:tblLayout w:type="fixed"/>
          <w:tblCellMar>
            <w:top w:w="0" w:type="dxa"/>
            <w:left w:w="108" w:type="dxa"/>
            <w:bottom w:w="0" w:type="dxa"/>
            <w:right w:w="108" w:type="dxa"/>
          </w:tblCellMar>
        </w:tblPrEx>
        <w:trPr>
          <w:trHeight w:val="570" w:hRule="atLeast"/>
        </w:trPr>
        <w:tc>
          <w:tcPr>
            <w:tcW w:w="2285" w:type="dxa"/>
            <w:tcBorders>
              <w:top w:val="nil"/>
              <w:left w:val="single" w:color="auto" w:sz="8" w:space="0"/>
              <w:bottom w:val="single" w:color="auto" w:sz="8" w:space="0"/>
              <w:right w:val="single" w:color="auto" w:sz="8" w:space="0"/>
            </w:tcBorders>
          </w:tcPr>
          <w:p>
            <w:pPr>
              <w:widowControl/>
              <w:jc w:val="center"/>
              <w:rPr>
                <w:rFonts w:ascii="宋体" w:cs="宋体"/>
                <w:kern w:val="0"/>
                <w:sz w:val="28"/>
                <w:szCs w:val="28"/>
              </w:rPr>
            </w:pPr>
            <w:r>
              <w:rPr>
                <w:rFonts w:hint="eastAsia" w:ascii="宋体" w:hAnsi="宋体" w:cs="宋体"/>
                <w:kern w:val="0"/>
                <w:sz w:val="28"/>
                <w:szCs w:val="28"/>
              </w:rPr>
              <w:t>申请日期</w:t>
            </w:r>
          </w:p>
        </w:tc>
        <w:tc>
          <w:tcPr>
            <w:tcW w:w="2775" w:type="dxa"/>
            <w:gridSpan w:val="2"/>
            <w:tcBorders>
              <w:top w:val="single" w:color="auto" w:sz="8" w:space="0"/>
              <w:left w:val="nil"/>
              <w:bottom w:val="single" w:color="auto" w:sz="8" w:space="0"/>
              <w:right w:val="single" w:color="000000" w:sz="8" w:space="0"/>
            </w:tcBorders>
          </w:tcPr>
          <w:p>
            <w:pPr>
              <w:widowControl/>
              <w:rPr>
                <w:rFonts w:ascii="??_GB2312" w:hAnsi="??_GB2312" w:cs="宋体"/>
                <w:kern w:val="0"/>
                <w:sz w:val="28"/>
                <w:szCs w:val="28"/>
              </w:rPr>
            </w:pPr>
            <w:r>
              <w:rPr>
                <w:rFonts w:hint="eastAsia" w:ascii="??_GB2312" w:hAnsi="??_GB2312" w:cs="宋体"/>
                <w:kern w:val="0"/>
                <w:sz w:val="28"/>
                <w:szCs w:val="28"/>
              </w:rPr>
              <w:t>　</w:t>
            </w:r>
          </w:p>
        </w:tc>
        <w:tc>
          <w:tcPr>
            <w:tcW w:w="1440" w:type="dxa"/>
            <w:tcBorders>
              <w:top w:val="nil"/>
              <w:left w:val="nil"/>
              <w:bottom w:val="single" w:color="auto" w:sz="8" w:space="0"/>
              <w:right w:val="single" w:color="auto" w:sz="8" w:space="0"/>
            </w:tcBorders>
          </w:tcPr>
          <w:p>
            <w:pPr>
              <w:widowControl/>
              <w:rPr>
                <w:rFonts w:ascii="宋体" w:cs="宋体"/>
                <w:kern w:val="0"/>
                <w:sz w:val="28"/>
                <w:szCs w:val="28"/>
              </w:rPr>
            </w:pPr>
            <w:r>
              <w:rPr>
                <w:rFonts w:hint="eastAsia" w:ascii="宋体" w:hAnsi="宋体" w:cs="宋体"/>
                <w:kern w:val="0"/>
                <w:sz w:val="28"/>
                <w:szCs w:val="28"/>
              </w:rPr>
              <w:t>用餐类别</w:t>
            </w:r>
          </w:p>
        </w:tc>
        <w:tc>
          <w:tcPr>
            <w:tcW w:w="2040" w:type="dxa"/>
            <w:tcBorders>
              <w:top w:val="nil"/>
              <w:left w:val="nil"/>
              <w:bottom w:val="single" w:color="auto" w:sz="8" w:space="0"/>
              <w:right w:val="single" w:color="auto" w:sz="8" w:space="0"/>
            </w:tcBorders>
          </w:tcPr>
          <w:p>
            <w:pPr>
              <w:widowControl/>
              <w:rPr>
                <w:rFonts w:ascii="宋体" w:cs="宋体"/>
                <w:kern w:val="0"/>
                <w:sz w:val="28"/>
                <w:szCs w:val="28"/>
              </w:rPr>
            </w:pPr>
            <w:r>
              <w:rPr>
                <w:rFonts w:hint="eastAsia" w:ascii="宋体" w:hAnsi="宋体" w:cs="宋体"/>
                <w:kern w:val="0"/>
                <w:sz w:val="28"/>
                <w:szCs w:val="28"/>
              </w:rPr>
              <w:t>午餐（晚餐）</w:t>
            </w:r>
          </w:p>
        </w:tc>
      </w:tr>
      <w:tr>
        <w:tblPrEx>
          <w:tblLayout w:type="fixed"/>
          <w:tblCellMar>
            <w:top w:w="0" w:type="dxa"/>
            <w:left w:w="108" w:type="dxa"/>
            <w:bottom w:w="0" w:type="dxa"/>
            <w:right w:w="108" w:type="dxa"/>
          </w:tblCellMar>
        </w:tblPrEx>
        <w:trPr>
          <w:trHeight w:val="525" w:hRule="atLeast"/>
        </w:trPr>
        <w:tc>
          <w:tcPr>
            <w:tcW w:w="2285" w:type="dxa"/>
            <w:tcBorders>
              <w:top w:val="nil"/>
              <w:left w:val="single" w:color="auto" w:sz="8" w:space="0"/>
              <w:bottom w:val="single" w:color="auto" w:sz="8" w:space="0"/>
              <w:right w:val="single" w:color="auto" w:sz="8" w:space="0"/>
            </w:tcBorders>
          </w:tcPr>
          <w:p>
            <w:pPr>
              <w:widowControl/>
              <w:jc w:val="center"/>
              <w:rPr>
                <w:rFonts w:ascii="宋体" w:cs="宋体"/>
                <w:kern w:val="0"/>
                <w:sz w:val="28"/>
                <w:szCs w:val="28"/>
              </w:rPr>
            </w:pPr>
            <w:r>
              <w:rPr>
                <w:rFonts w:hint="eastAsia" w:ascii="宋体" w:hAnsi="宋体" w:cs="宋体"/>
                <w:kern w:val="0"/>
                <w:sz w:val="28"/>
                <w:szCs w:val="28"/>
              </w:rPr>
              <w:t>用餐事由</w:t>
            </w:r>
          </w:p>
        </w:tc>
        <w:tc>
          <w:tcPr>
            <w:tcW w:w="6255" w:type="dxa"/>
            <w:gridSpan w:val="4"/>
            <w:tcBorders>
              <w:top w:val="single" w:color="auto" w:sz="8" w:space="0"/>
              <w:left w:val="nil"/>
              <w:bottom w:val="single" w:color="auto" w:sz="8" w:space="0"/>
              <w:right w:val="single" w:color="000000" w:sz="8" w:space="0"/>
            </w:tcBorders>
          </w:tcPr>
          <w:p>
            <w:pPr>
              <w:widowControl/>
              <w:rPr>
                <w:rFonts w:ascii="??_GB2312" w:hAnsi="??_GB2312" w:cs="宋体"/>
                <w:kern w:val="0"/>
                <w:sz w:val="28"/>
                <w:szCs w:val="28"/>
              </w:rPr>
            </w:pPr>
            <w:r>
              <w:rPr>
                <w:rFonts w:hint="eastAsia" w:ascii="??_GB2312" w:hAnsi="??_GB2312" w:cs="宋体"/>
                <w:kern w:val="0"/>
                <w:sz w:val="28"/>
                <w:szCs w:val="28"/>
              </w:rPr>
              <w:t>　</w:t>
            </w:r>
          </w:p>
        </w:tc>
      </w:tr>
      <w:tr>
        <w:tblPrEx>
          <w:tblLayout w:type="fixed"/>
          <w:tblCellMar>
            <w:top w:w="0" w:type="dxa"/>
            <w:left w:w="108" w:type="dxa"/>
            <w:bottom w:w="0" w:type="dxa"/>
            <w:right w:w="108" w:type="dxa"/>
          </w:tblCellMar>
        </w:tblPrEx>
        <w:trPr>
          <w:trHeight w:val="585" w:hRule="atLeast"/>
        </w:trPr>
        <w:tc>
          <w:tcPr>
            <w:tcW w:w="2285" w:type="dxa"/>
            <w:tcBorders>
              <w:top w:val="nil"/>
              <w:left w:val="single" w:color="auto" w:sz="8" w:space="0"/>
              <w:bottom w:val="single" w:color="auto" w:sz="8" w:space="0"/>
              <w:right w:val="single" w:color="auto" w:sz="8" w:space="0"/>
            </w:tcBorders>
          </w:tcPr>
          <w:p>
            <w:pPr>
              <w:widowControl/>
              <w:jc w:val="center"/>
              <w:rPr>
                <w:rFonts w:ascii="宋体" w:cs="宋体"/>
                <w:kern w:val="0"/>
                <w:sz w:val="28"/>
                <w:szCs w:val="28"/>
              </w:rPr>
            </w:pPr>
            <w:r>
              <w:rPr>
                <w:rFonts w:hint="eastAsia" w:ascii="宋体" w:hAnsi="宋体" w:cs="宋体"/>
                <w:kern w:val="0"/>
                <w:sz w:val="28"/>
                <w:szCs w:val="28"/>
              </w:rPr>
              <w:t>来宾单位</w:t>
            </w:r>
          </w:p>
        </w:tc>
        <w:tc>
          <w:tcPr>
            <w:tcW w:w="6255" w:type="dxa"/>
            <w:gridSpan w:val="4"/>
            <w:tcBorders>
              <w:top w:val="single" w:color="auto" w:sz="8" w:space="0"/>
              <w:left w:val="nil"/>
              <w:bottom w:val="single" w:color="auto" w:sz="8" w:space="0"/>
              <w:right w:val="single" w:color="000000" w:sz="8" w:space="0"/>
            </w:tcBorders>
          </w:tcPr>
          <w:p>
            <w:pPr>
              <w:widowControl/>
              <w:rPr>
                <w:rFonts w:ascii="??_GB2312" w:hAnsi="??_GB2312" w:cs="宋体"/>
                <w:kern w:val="0"/>
                <w:sz w:val="28"/>
                <w:szCs w:val="28"/>
              </w:rPr>
            </w:pPr>
            <w:r>
              <w:rPr>
                <w:rFonts w:hint="eastAsia" w:ascii="??_GB2312" w:hAnsi="??_GB2312" w:cs="宋体"/>
                <w:kern w:val="0"/>
                <w:sz w:val="28"/>
                <w:szCs w:val="28"/>
              </w:rPr>
              <w:t>　</w:t>
            </w:r>
          </w:p>
        </w:tc>
      </w:tr>
      <w:tr>
        <w:tblPrEx>
          <w:tblLayout w:type="fixed"/>
          <w:tblCellMar>
            <w:top w:w="0" w:type="dxa"/>
            <w:left w:w="108" w:type="dxa"/>
            <w:bottom w:w="0" w:type="dxa"/>
            <w:right w:w="108" w:type="dxa"/>
          </w:tblCellMar>
        </w:tblPrEx>
        <w:trPr>
          <w:trHeight w:val="390" w:hRule="atLeast"/>
        </w:trPr>
        <w:tc>
          <w:tcPr>
            <w:tcW w:w="2285" w:type="dxa"/>
            <w:vMerge w:val="restart"/>
            <w:tcBorders>
              <w:top w:val="nil"/>
              <w:left w:val="single" w:color="auto" w:sz="8" w:space="0"/>
              <w:bottom w:val="single" w:color="000000" w:sz="8" w:space="0"/>
              <w:right w:val="single" w:color="auto" w:sz="8" w:space="0"/>
            </w:tcBorders>
            <w:vAlign w:val="center"/>
          </w:tcPr>
          <w:p>
            <w:pPr>
              <w:widowControl/>
              <w:jc w:val="center"/>
              <w:rPr>
                <w:rFonts w:ascii="宋体" w:cs="宋体"/>
                <w:kern w:val="0"/>
                <w:sz w:val="28"/>
                <w:szCs w:val="28"/>
              </w:rPr>
            </w:pPr>
            <w:r>
              <w:rPr>
                <w:rFonts w:hint="eastAsia" w:ascii="宋体" w:hAnsi="宋体" w:cs="宋体"/>
                <w:kern w:val="0"/>
                <w:sz w:val="28"/>
                <w:szCs w:val="28"/>
              </w:rPr>
              <w:t>用餐人员人数</w:t>
            </w:r>
          </w:p>
        </w:tc>
        <w:tc>
          <w:tcPr>
            <w:tcW w:w="1295" w:type="dxa"/>
            <w:vMerge w:val="restart"/>
            <w:tcBorders>
              <w:top w:val="nil"/>
              <w:left w:val="single" w:color="auto" w:sz="8" w:space="0"/>
              <w:bottom w:val="single" w:color="000000" w:sz="8" w:space="0"/>
              <w:right w:val="single" w:color="auto" w:sz="8" w:space="0"/>
            </w:tcBorders>
          </w:tcPr>
          <w:p>
            <w:pPr>
              <w:widowControl/>
              <w:rPr>
                <w:rFonts w:ascii="??_GB2312" w:hAnsi="??_GB2312" w:cs="宋体"/>
                <w:kern w:val="0"/>
                <w:sz w:val="28"/>
                <w:szCs w:val="28"/>
              </w:rPr>
            </w:pPr>
            <w:r>
              <w:rPr>
                <w:rFonts w:hint="eastAsia" w:ascii="??_GB2312" w:hAnsi="??_GB2312" w:cs="宋体"/>
                <w:kern w:val="0"/>
                <w:sz w:val="28"/>
                <w:szCs w:val="28"/>
              </w:rPr>
              <w:t>　</w:t>
            </w:r>
          </w:p>
        </w:tc>
        <w:tc>
          <w:tcPr>
            <w:tcW w:w="1480" w:type="dxa"/>
            <w:tcBorders>
              <w:top w:val="nil"/>
              <w:left w:val="nil"/>
              <w:bottom w:val="single" w:color="auto" w:sz="8" w:space="0"/>
              <w:right w:val="single" w:color="auto" w:sz="8" w:space="0"/>
            </w:tcBorders>
          </w:tcPr>
          <w:p>
            <w:pPr>
              <w:widowControl/>
              <w:rPr>
                <w:rFonts w:ascii="宋体" w:cs="宋体"/>
                <w:kern w:val="0"/>
                <w:sz w:val="28"/>
                <w:szCs w:val="28"/>
              </w:rPr>
            </w:pPr>
            <w:r>
              <w:rPr>
                <w:rFonts w:hint="eastAsia" w:ascii="宋体" w:hAnsi="宋体" w:cs="宋体"/>
                <w:kern w:val="0"/>
                <w:sz w:val="28"/>
                <w:szCs w:val="28"/>
              </w:rPr>
              <w:t>来宾人数</w:t>
            </w:r>
          </w:p>
        </w:tc>
        <w:tc>
          <w:tcPr>
            <w:tcW w:w="3480" w:type="dxa"/>
            <w:gridSpan w:val="2"/>
            <w:tcBorders>
              <w:top w:val="single" w:color="auto" w:sz="8" w:space="0"/>
              <w:left w:val="nil"/>
              <w:bottom w:val="single" w:color="auto" w:sz="8" w:space="0"/>
              <w:right w:val="single" w:color="000000" w:sz="8" w:space="0"/>
            </w:tcBorders>
          </w:tcPr>
          <w:p>
            <w:pPr>
              <w:widowControl/>
              <w:rPr>
                <w:rFonts w:ascii="??_GB2312" w:hAnsi="??_GB2312" w:cs="宋体"/>
                <w:kern w:val="0"/>
                <w:sz w:val="28"/>
                <w:szCs w:val="28"/>
              </w:rPr>
            </w:pPr>
            <w:r>
              <w:rPr>
                <w:rFonts w:hint="eastAsia" w:ascii="??_GB2312" w:hAnsi="??_GB2312" w:cs="宋体"/>
                <w:kern w:val="0"/>
                <w:sz w:val="28"/>
                <w:szCs w:val="28"/>
              </w:rPr>
              <w:t>　</w:t>
            </w:r>
          </w:p>
        </w:tc>
      </w:tr>
      <w:tr>
        <w:tblPrEx>
          <w:tblLayout w:type="fixed"/>
          <w:tblCellMar>
            <w:top w:w="0" w:type="dxa"/>
            <w:left w:w="108" w:type="dxa"/>
            <w:bottom w:w="0" w:type="dxa"/>
            <w:right w:w="108" w:type="dxa"/>
          </w:tblCellMar>
        </w:tblPrEx>
        <w:trPr>
          <w:trHeight w:val="480" w:hRule="atLeast"/>
        </w:trPr>
        <w:tc>
          <w:tcPr>
            <w:tcW w:w="2285" w:type="dxa"/>
            <w:vMerge w:val="continue"/>
            <w:tcBorders>
              <w:top w:val="nil"/>
              <w:left w:val="single" w:color="auto" w:sz="8" w:space="0"/>
              <w:bottom w:val="single" w:color="000000" w:sz="8" w:space="0"/>
              <w:right w:val="single" w:color="auto" w:sz="8" w:space="0"/>
            </w:tcBorders>
            <w:vAlign w:val="center"/>
          </w:tcPr>
          <w:p>
            <w:pPr>
              <w:widowControl/>
              <w:jc w:val="center"/>
              <w:rPr>
                <w:rFonts w:ascii="宋体" w:cs="宋体"/>
                <w:kern w:val="0"/>
                <w:sz w:val="28"/>
                <w:szCs w:val="28"/>
              </w:rPr>
            </w:pPr>
          </w:p>
        </w:tc>
        <w:tc>
          <w:tcPr>
            <w:tcW w:w="1295" w:type="dxa"/>
            <w:vMerge w:val="continue"/>
            <w:tcBorders>
              <w:top w:val="nil"/>
              <w:left w:val="single" w:color="auto" w:sz="8" w:space="0"/>
              <w:bottom w:val="single" w:color="000000" w:sz="8" w:space="0"/>
              <w:right w:val="single" w:color="auto" w:sz="8" w:space="0"/>
            </w:tcBorders>
            <w:vAlign w:val="center"/>
          </w:tcPr>
          <w:p>
            <w:pPr>
              <w:widowControl/>
              <w:jc w:val="left"/>
              <w:rPr>
                <w:rFonts w:ascii="??_GB2312" w:hAnsi="??_GB2312" w:cs="宋体"/>
                <w:kern w:val="0"/>
                <w:sz w:val="28"/>
                <w:szCs w:val="28"/>
              </w:rPr>
            </w:pPr>
          </w:p>
        </w:tc>
        <w:tc>
          <w:tcPr>
            <w:tcW w:w="1480" w:type="dxa"/>
            <w:tcBorders>
              <w:top w:val="nil"/>
              <w:left w:val="nil"/>
              <w:bottom w:val="single" w:color="auto" w:sz="8" w:space="0"/>
              <w:right w:val="single" w:color="auto" w:sz="8" w:space="0"/>
            </w:tcBorders>
          </w:tcPr>
          <w:p>
            <w:pPr>
              <w:widowControl/>
              <w:rPr>
                <w:rFonts w:ascii="宋体" w:cs="宋体"/>
                <w:kern w:val="0"/>
                <w:sz w:val="28"/>
                <w:szCs w:val="28"/>
              </w:rPr>
            </w:pPr>
            <w:r>
              <w:rPr>
                <w:rFonts w:hint="eastAsia" w:ascii="宋体" w:hAnsi="宋体" w:cs="宋体"/>
                <w:kern w:val="0"/>
                <w:sz w:val="28"/>
                <w:szCs w:val="28"/>
              </w:rPr>
              <w:t>陪同人数</w:t>
            </w:r>
          </w:p>
        </w:tc>
        <w:tc>
          <w:tcPr>
            <w:tcW w:w="3480" w:type="dxa"/>
            <w:gridSpan w:val="2"/>
            <w:tcBorders>
              <w:top w:val="single" w:color="auto" w:sz="8" w:space="0"/>
              <w:left w:val="nil"/>
              <w:bottom w:val="single" w:color="auto" w:sz="8" w:space="0"/>
              <w:right w:val="single" w:color="000000" w:sz="8" w:space="0"/>
            </w:tcBorders>
          </w:tcPr>
          <w:p>
            <w:pPr>
              <w:widowControl/>
              <w:rPr>
                <w:rFonts w:ascii="??_GB2312" w:hAnsi="??_GB2312" w:cs="宋体"/>
                <w:kern w:val="0"/>
                <w:sz w:val="28"/>
                <w:szCs w:val="28"/>
              </w:rPr>
            </w:pPr>
            <w:r>
              <w:rPr>
                <w:rFonts w:hint="eastAsia" w:ascii="??_GB2312" w:hAnsi="??_GB2312" w:cs="宋体"/>
                <w:kern w:val="0"/>
                <w:sz w:val="28"/>
                <w:szCs w:val="28"/>
              </w:rPr>
              <w:t>　</w:t>
            </w:r>
          </w:p>
        </w:tc>
      </w:tr>
      <w:tr>
        <w:tblPrEx>
          <w:tblLayout w:type="fixed"/>
          <w:tblCellMar>
            <w:top w:w="0" w:type="dxa"/>
            <w:left w:w="108" w:type="dxa"/>
            <w:bottom w:w="0" w:type="dxa"/>
            <w:right w:w="108" w:type="dxa"/>
          </w:tblCellMar>
        </w:tblPrEx>
        <w:trPr>
          <w:trHeight w:val="630" w:hRule="atLeast"/>
        </w:trPr>
        <w:tc>
          <w:tcPr>
            <w:tcW w:w="2285" w:type="dxa"/>
            <w:tcBorders>
              <w:top w:val="nil"/>
              <w:left w:val="single" w:color="auto" w:sz="8" w:space="0"/>
              <w:bottom w:val="single" w:color="auto" w:sz="8" w:space="0"/>
              <w:right w:val="single" w:color="auto" w:sz="8" w:space="0"/>
            </w:tcBorders>
          </w:tcPr>
          <w:p>
            <w:pPr>
              <w:widowControl/>
              <w:jc w:val="center"/>
              <w:rPr>
                <w:rFonts w:ascii="宋体" w:cs="宋体"/>
                <w:kern w:val="0"/>
                <w:sz w:val="28"/>
                <w:szCs w:val="28"/>
              </w:rPr>
            </w:pPr>
            <w:r>
              <w:rPr>
                <w:rFonts w:hint="eastAsia" w:ascii="宋体" w:hAnsi="宋体" w:cs="宋体"/>
                <w:kern w:val="0"/>
                <w:sz w:val="28"/>
                <w:szCs w:val="28"/>
              </w:rPr>
              <w:t>用餐标准</w:t>
            </w:r>
          </w:p>
        </w:tc>
        <w:tc>
          <w:tcPr>
            <w:tcW w:w="6255" w:type="dxa"/>
            <w:gridSpan w:val="4"/>
            <w:tcBorders>
              <w:top w:val="single" w:color="auto" w:sz="8" w:space="0"/>
              <w:left w:val="nil"/>
              <w:bottom w:val="single" w:color="auto" w:sz="8" w:space="0"/>
              <w:right w:val="single" w:color="000000" w:sz="8" w:space="0"/>
            </w:tcBorders>
          </w:tcPr>
          <w:p>
            <w:pPr>
              <w:widowControl/>
              <w:rPr>
                <w:rFonts w:ascii="宋体" w:cs="宋体"/>
                <w:kern w:val="0"/>
                <w:sz w:val="28"/>
                <w:szCs w:val="28"/>
              </w:rPr>
            </w:pPr>
            <w:r>
              <w:rPr>
                <w:rFonts w:hint="eastAsia" w:ascii="宋体" w:hAnsi="宋体" w:cs="宋体"/>
                <w:kern w:val="0"/>
                <w:sz w:val="28"/>
                <w:szCs w:val="28"/>
              </w:rPr>
              <w:t>接待标准按元</w:t>
            </w:r>
            <w:r>
              <w:rPr>
                <w:rFonts w:ascii="??_GB2312" w:hAnsi="??_GB2312" w:cs="宋体"/>
                <w:kern w:val="0"/>
                <w:sz w:val="28"/>
                <w:szCs w:val="28"/>
              </w:rPr>
              <w:t>/</w:t>
            </w:r>
            <w:r>
              <w:rPr>
                <w:rFonts w:hint="eastAsia" w:ascii="宋体" w:hAnsi="宋体" w:cs="宋体"/>
                <w:kern w:val="0"/>
                <w:sz w:val="28"/>
                <w:szCs w:val="28"/>
              </w:rPr>
              <w:t>人，共计万仟佰拾元</w:t>
            </w:r>
          </w:p>
        </w:tc>
      </w:tr>
      <w:tr>
        <w:tblPrEx>
          <w:tblLayout w:type="fixed"/>
          <w:tblCellMar>
            <w:top w:w="0" w:type="dxa"/>
            <w:left w:w="108" w:type="dxa"/>
            <w:bottom w:w="0" w:type="dxa"/>
            <w:right w:w="108" w:type="dxa"/>
          </w:tblCellMar>
        </w:tblPrEx>
        <w:trPr>
          <w:trHeight w:val="762" w:hRule="atLeast"/>
        </w:trPr>
        <w:tc>
          <w:tcPr>
            <w:tcW w:w="2285" w:type="dxa"/>
            <w:tcBorders>
              <w:top w:val="nil"/>
              <w:left w:val="single" w:color="auto" w:sz="8" w:space="0"/>
              <w:bottom w:val="single" w:color="auto" w:sz="8" w:space="0"/>
              <w:right w:val="single" w:color="auto" w:sz="8" w:space="0"/>
            </w:tcBorders>
            <w:vAlign w:val="center"/>
          </w:tcPr>
          <w:p>
            <w:pPr>
              <w:widowControl/>
              <w:jc w:val="center"/>
              <w:rPr>
                <w:rFonts w:ascii="宋体" w:cs="宋体"/>
                <w:kern w:val="0"/>
                <w:sz w:val="28"/>
                <w:szCs w:val="28"/>
              </w:rPr>
            </w:pPr>
            <w:r>
              <w:rPr>
                <w:rFonts w:hint="eastAsia" w:ascii="宋体" w:hAnsi="宋体" w:cs="宋体"/>
                <w:kern w:val="0"/>
                <w:sz w:val="28"/>
                <w:szCs w:val="28"/>
              </w:rPr>
              <w:t>分管局领导审批</w:t>
            </w:r>
          </w:p>
        </w:tc>
        <w:tc>
          <w:tcPr>
            <w:tcW w:w="2775" w:type="dxa"/>
            <w:gridSpan w:val="2"/>
            <w:tcBorders>
              <w:top w:val="single" w:color="auto" w:sz="8" w:space="0"/>
              <w:left w:val="nil"/>
              <w:bottom w:val="single" w:color="auto" w:sz="8" w:space="0"/>
              <w:right w:val="single" w:color="000000" w:sz="8" w:space="0"/>
            </w:tcBorders>
          </w:tcPr>
          <w:p>
            <w:pPr>
              <w:widowControl/>
              <w:rPr>
                <w:rFonts w:ascii="??_GB2312" w:hAnsi="??_GB2312" w:cs="宋体"/>
                <w:kern w:val="0"/>
                <w:sz w:val="28"/>
                <w:szCs w:val="28"/>
              </w:rPr>
            </w:pPr>
            <w:r>
              <w:rPr>
                <w:rFonts w:hint="eastAsia" w:ascii="??_GB2312" w:hAnsi="??_GB2312" w:cs="宋体"/>
                <w:kern w:val="0"/>
                <w:sz w:val="28"/>
                <w:szCs w:val="28"/>
              </w:rPr>
              <w:t>　</w:t>
            </w:r>
          </w:p>
        </w:tc>
        <w:tc>
          <w:tcPr>
            <w:tcW w:w="1440" w:type="dxa"/>
            <w:tcBorders>
              <w:top w:val="nil"/>
              <w:left w:val="nil"/>
              <w:bottom w:val="single" w:color="auto" w:sz="8" w:space="0"/>
              <w:right w:val="single" w:color="auto" w:sz="8" w:space="0"/>
            </w:tcBorders>
            <w:vAlign w:val="center"/>
          </w:tcPr>
          <w:p>
            <w:pPr>
              <w:widowControl/>
              <w:rPr>
                <w:rFonts w:ascii="宋体" w:cs="宋体"/>
                <w:kern w:val="0"/>
                <w:sz w:val="28"/>
                <w:szCs w:val="28"/>
              </w:rPr>
            </w:pPr>
            <w:r>
              <w:rPr>
                <w:rFonts w:hint="eastAsia" w:ascii="宋体" w:hAnsi="宋体" w:cs="宋体"/>
                <w:kern w:val="0"/>
                <w:sz w:val="28"/>
                <w:szCs w:val="28"/>
              </w:rPr>
              <w:t>局长批示</w:t>
            </w:r>
          </w:p>
        </w:tc>
        <w:tc>
          <w:tcPr>
            <w:tcW w:w="2040" w:type="dxa"/>
            <w:tcBorders>
              <w:top w:val="nil"/>
              <w:left w:val="nil"/>
              <w:bottom w:val="single" w:color="auto" w:sz="8" w:space="0"/>
              <w:right w:val="single" w:color="auto" w:sz="8" w:space="0"/>
            </w:tcBorders>
          </w:tcPr>
          <w:p>
            <w:pPr>
              <w:widowControl/>
              <w:rPr>
                <w:rFonts w:ascii="??_GB2312" w:hAnsi="??_GB2312" w:cs="宋体"/>
                <w:kern w:val="0"/>
                <w:sz w:val="28"/>
                <w:szCs w:val="28"/>
              </w:rPr>
            </w:pPr>
            <w:r>
              <w:rPr>
                <w:rFonts w:hint="eastAsia" w:ascii="??_GB2312" w:hAnsi="??_GB2312" w:cs="宋体"/>
                <w:kern w:val="0"/>
                <w:sz w:val="28"/>
                <w:szCs w:val="28"/>
              </w:rPr>
              <w:t>　</w:t>
            </w:r>
          </w:p>
        </w:tc>
      </w:tr>
    </w:tbl>
    <w:p>
      <w:pPr>
        <w:spacing w:line="600" w:lineRule="exact"/>
        <w:ind w:right="640"/>
        <w:jc w:val="left"/>
        <w:rPr>
          <w:rFonts w:ascii="??_GB2312"/>
          <w:sz w:val="30"/>
          <w:szCs w:val="30"/>
        </w:rPr>
      </w:pPr>
      <w:r>
        <w:rPr>
          <w:rFonts w:hint="eastAsia" w:ascii="??_GB2312"/>
          <w:sz w:val="30"/>
          <w:szCs w:val="30"/>
        </w:rPr>
        <w:t>附表</w:t>
      </w:r>
      <w:r>
        <w:rPr>
          <w:rFonts w:ascii="??_GB2312"/>
          <w:sz w:val="30"/>
          <w:szCs w:val="30"/>
        </w:rPr>
        <w:t>4</w:t>
      </w:r>
      <w:r>
        <w:rPr>
          <w:rFonts w:hint="eastAsia" w:ascii="??_GB2312"/>
          <w:sz w:val="30"/>
          <w:szCs w:val="30"/>
        </w:rPr>
        <w:t>：</w:t>
      </w:r>
    </w:p>
    <w:p>
      <w:pPr>
        <w:spacing w:line="600" w:lineRule="exact"/>
        <w:ind w:right="640"/>
        <w:jc w:val="center"/>
        <w:rPr>
          <w:rFonts w:ascii="方正小标宋简体" w:hAnsi="方正小标宋简体" w:eastAsia="方正小标宋简体" w:cs="方正小标宋简体"/>
          <w:sz w:val="44"/>
          <w:szCs w:val="44"/>
        </w:rPr>
      </w:pPr>
    </w:p>
    <w:p>
      <w:pPr>
        <w:spacing w:line="600" w:lineRule="exact"/>
        <w:ind w:right="64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君山区因公出差申请表(样表)</w:t>
      </w:r>
    </w:p>
    <w:p>
      <w:pPr>
        <w:spacing w:line="600" w:lineRule="exact"/>
        <w:jc w:val="center"/>
        <w:rPr>
          <w:rFonts w:ascii="仿宋" w:hAnsi="仿宋" w:eastAsia="仿宋" w:cs="仿宋"/>
          <w:sz w:val="30"/>
          <w:szCs w:val="30"/>
        </w:rPr>
      </w:pPr>
      <w:r>
        <w:rPr>
          <w:rFonts w:hint="eastAsia" w:ascii="仿宋" w:hAnsi="仿宋" w:eastAsia="仿宋" w:cs="仿宋"/>
          <w:sz w:val="30"/>
          <w:szCs w:val="30"/>
        </w:rPr>
        <w:t>填表日期：年月日</w:t>
      </w:r>
    </w:p>
    <w:tbl>
      <w:tblPr>
        <w:tblStyle w:val="5"/>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3420"/>
        <w:gridCol w:w="1080"/>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z w:val="28"/>
                <w:szCs w:val="28"/>
              </w:rPr>
              <w:t>申请单位</w:t>
            </w:r>
            <w:r>
              <w:rPr>
                <w:rFonts w:ascii="仿宋" w:hAnsi="仿宋" w:eastAsia="仿宋" w:cs="仿宋"/>
                <w:sz w:val="28"/>
                <w:szCs w:val="28"/>
              </w:rPr>
              <w:t>(</w:t>
            </w:r>
            <w:r>
              <w:rPr>
                <w:rFonts w:hint="eastAsia" w:ascii="仿宋" w:hAnsi="仿宋" w:eastAsia="仿宋" w:cs="仿宋"/>
                <w:sz w:val="28"/>
                <w:szCs w:val="28"/>
              </w:rPr>
              <w:t>部门</w:t>
            </w:r>
            <w:r>
              <w:rPr>
                <w:rFonts w:ascii="仿宋" w:hAnsi="仿宋" w:eastAsia="仿宋" w:cs="仿宋"/>
                <w:sz w:val="28"/>
                <w:szCs w:val="28"/>
              </w:rPr>
              <w:t>)</w:t>
            </w:r>
          </w:p>
        </w:tc>
        <w:tc>
          <w:tcPr>
            <w:tcW w:w="6632" w:type="dxa"/>
            <w:gridSpan w:val="3"/>
          </w:tcPr>
          <w:p>
            <w:pPr>
              <w:spacing w:line="600" w:lineRule="exact"/>
              <w:jc w:val="center"/>
              <w:rPr>
                <w:rFonts w:ascii="仿宋" w:hAnsi="仿宋" w:eastAsia="仿宋" w:cs="仿宋"/>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z w:val="28"/>
                <w:szCs w:val="28"/>
              </w:rPr>
              <w:t>出差日期</w:t>
            </w:r>
          </w:p>
        </w:tc>
        <w:tc>
          <w:tcPr>
            <w:tcW w:w="6632" w:type="dxa"/>
            <w:gridSpan w:val="3"/>
          </w:tcPr>
          <w:p>
            <w:pPr>
              <w:spacing w:line="600" w:lineRule="exact"/>
              <w:rPr>
                <w:rFonts w:ascii="宋体" w:cs="仿宋"/>
                <w:sz w:val="28"/>
                <w:szCs w:val="28"/>
              </w:rPr>
            </w:pPr>
            <w:r>
              <w:rPr>
                <w:rFonts w:hint="eastAsia" w:ascii="宋体" w:hAnsi="宋体" w:cs="仿宋"/>
                <w:sz w:val="28"/>
                <w:szCs w:val="28"/>
              </w:rPr>
              <w:t>从月日至月日，共计天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z w:val="28"/>
                <w:szCs w:val="28"/>
              </w:rPr>
              <w:t>出差事由</w:t>
            </w:r>
          </w:p>
        </w:tc>
        <w:tc>
          <w:tcPr>
            <w:tcW w:w="6632" w:type="dxa"/>
            <w:gridSpan w:val="3"/>
          </w:tcPr>
          <w:p>
            <w:pPr>
              <w:spacing w:line="600" w:lineRule="exact"/>
              <w:jc w:val="center"/>
              <w:rPr>
                <w:rFonts w:ascii="仿宋" w:hAnsi="仿宋" w:eastAsia="仿宋" w:cs="仿宋"/>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z w:val="28"/>
                <w:szCs w:val="28"/>
              </w:rPr>
              <w:t>途经地点</w:t>
            </w:r>
          </w:p>
        </w:tc>
        <w:tc>
          <w:tcPr>
            <w:tcW w:w="6632" w:type="dxa"/>
            <w:gridSpan w:val="3"/>
          </w:tcPr>
          <w:p>
            <w:pPr>
              <w:spacing w:line="600" w:lineRule="exact"/>
              <w:jc w:val="center"/>
              <w:rPr>
                <w:rFonts w:ascii="仿宋" w:hAnsi="仿宋" w:eastAsia="仿宋" w:cs="仿宋"/>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z w:val="28"/>
                <w:szCs w:val="28"/>
              </w:rPr>
              <w:t>同趟出差人员</w:t>
            </w:r>
          </w:p>
        </w:tc>
        <w:tc>
          <w:tcPr>
            <w:tcW w:w="6632" w:type="dxa"/>
            <w:gridSpan w:val="3"/>
          </w:tcPr>
          <w:p>
            <w:pPr>
              <w:spacing w:line="600" w:lineRule="exact"/>
              <w:jc w:val="center"/>
              <w:rPr>
                <w:rFonts w:ascii="仿宋" w:hAnsi="仿宋" w:eastAsia="仿宋" w:cs="仿宋"/>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z w:val="28"/>
                <w:szCs w:val="28"/>
              </w:rPr>
              <w:t>分管领导意见</w:t>
            </w:r>
          </w:p>
        </w:tc>
        <w:tc>
          <w:tcPr>
            <w:tcW w:w="3420" w:type="dxa"/>
          </w:tcPr>
          <w:p>
            <w:pPr>
              <w:spacing w:line="600" w:lineRule="exact"/>
              <w:jc w:val="center"/>
              <w:rPr>
                <w:rFonts w:ascii="仿宋" w:hAnsi="仿宋" w:eastAsia="仿宋" w:cs="仿宋"/>
                <w:sz w:val="36"/>
                <w:szCs w:val="36"/>
              </w:rPr>
            </w:pPr>
          </w:p>
        </w:tc>
        <w:tc>
          <w:tcPr>
            <w:tcW w:w="1080" w:type="dxa"/>
          </w:tcPr>
          <w:p>
            <w:pPr>
              <w:spacing w:line="600" w:lineRule="exact"/>
              <w:rPr>
                <w:rFonts w:ascii="宋体" w:cs="仿宋"/>
                <w:sz w:val="28"/>
                <w:szCs w:val="28"/>
              </w:rPr>
            </w:pPr>
            <w:r>
              <w:rPr>
                <w:rFonts w:hint="eastAsia" w:ascii="宋体" w:hAnsi="宋体" w:cs="仿宋"/>
                <w:sz w:val="28"/>
                <w:szCs w:val="28"/>
              </w:rPr>
              <w:t>申请人</w:t>
            </w:r>
          </w:p>
        </w:tc>
        <w:tc>
          <w:tcPr>
            <w:tcW w:w="2132" w:type="dxa"/>
          </w:tcPr>
          <w:p>
            <w:pPr>
              <w:spacing w:line="600" w:lineRule="exact"/>
              <w:jc w:val="center"/>
              <w:rPr>
                <w:rFonts w:ascii="仿宋" w:hAnsi="仿宋" w:eastAsia="仿宋" w:cs="仿宋"/>
                <w:sz w:val="36"/>
                <w:szCs w:val="36"/>
              </w:rPr>
            </w:pPr>
          </w:p>
        </w:tc>
      </w:tr>
    </w:tbl>
    <w:p>
      <w:pPr>
        <w:spacing w:line="600" w:lineRule="exact"/>
        <w:ind w:right="640"/>
        <w:jc w:val="left"/>
        <w:rPr>
          <w:rFonts w:ascii="??_GB2312"/>
          <w:sz w:val="30"/>
          <w:szCs w:val="30"/>
        </w:rPr>
      </w:pPr>
    </w:p>
    <w:p>
      <w:pPr>
        <w:spacing w:line="600" w:lineRule="exact"/>
        <w:ind w:right="640"/>
        <w:jc w:val="left"/>
        <w:rPr>
          <w:rFonts w:ascii="??_GB2312"/>
          <w:sz w:val="30"/>
          <w:szCs w:val="30"/>
        </w:rPr>
      </w:pPr>
    </w:p>
    <w:p>
      <w:pPr>
        <w:spacing w:line="600" w:lineRule="exact"/>
        <w:ind w:right="640"/>
        <w:jc w:val="left"/>
        <w:rPr>
          <w:rFonts w:ascii="??_GB2312"/>
          <w:sz w:val="30"/>
          <w:szCs w:val="30"/>
        </w:rPr>
      </w:pPr>
    </w:p>
    <w:p>
      <w:pPr>
        <w:spacing w:line="600" w:lineRule="exact"/>
        <w:ind w:right="640"/>
        <w:jc w:val="left"/>
        <w:rPr>
          <w:rFonts w:ascii="??_GB2312"/>
          <w:sz w:val="30"/>
          <w:szCs w:val="30"/>
        </w:rPr>
      </w:pPr>
    </w:p>
    <w:p>
      <w:pPr>
        <w:spacing w:line="600" w:lineRule="exact"/>
        <w:ind w:right="640"/>
        <w:jc w:val="left"/>
        <w:rPr>
          <w:rFonts w:ascii="??_GB2312"/>
          <w:sz w:val="30"/>
          <w:szCs w:val="30"/>
        </w:rPr>
      </w:pPr>
    </w:p>
    <w:p>
      <w:pPr>
        <w:spacing w:line="600" w:lineRule="exact"/>
        <w:ind w:right="640"/>
        <w:jc w:val="left"/>
        <w:rPr>
          <w:rFonts w:ascii="??_GB2312"/>
          <w:sz w:val="30"/>
          <w:szCs w:val="30"/>
        </w:rPr>
      </w:pPr>
    </w:p>
    <w:p>
      <w:pPr>
        <w:spacing w:line="600" w:lineRule="exact"/>
        <w:ind w:right="640"/>
        <w:jc w:val="left"/>
        <w:rPr>
          <w:rFonts w:ascii="??_GB2312"/>
          <w:sz w:val="30"/>
          <w:szCs w:val="30"/>
        </w:rPr>
      </w:pPr>
    </w:p>
    <w:p>
      <w:pPr>
        <w:spacing w:line="600" w:lineRule="exact"/>
        <w:ind w:right="640"/>
        <w:jc w:val="left"/>
        <w:rPr>
          <w:rFonts w:ascii="??_GB2312"/>
          <w:sz w:val="30"/>
          <w:szCs w:val="30"/>
        </w:rPr>
      </w:pPr>
    </w:p>
    <w:p>
      <w:pPr>
        <w:spacing w:line="600" w:lineRule="exact"/>
        <w:ind w:right="640"/>
        <w:jc w:val="left"/>
        <w:rPr>
          <w:rFonts w:ascii="??_GB2312"/>
          <w:sz w:val="30"/>
          <w:szCs w:val="30"/>
        </w:rPr>
      </w:pPr>
    </w:p>
    <w:p>
      <w:pPr>
        <w:spacing w:line="600" w:lineRule="exact"/>
        <w:ind w:right="640"/>
        <w:jc w:val="left"/>
        <w:rPr>
          <w:rFonts w:ascii="??_GB2312"/>
          <w:sz w:val="30"/>
          <w:szCs w:val="30"/>
        </w:rPr>
      </w:pPr>
    </w:p>
    <w:p>
      <w:pPr>
        <w:spacing w:line="600" w:lineRule="exact"/>
        <w:ind w:right="640"/>
        <w:jc w:val="left"/>
        <w:rPr>
          <w:rFonts w:ascii="??_GB2312"/>
          <w:sz w:val="30"/>
          <w:szCs w:val="30"/>
        </w:rPr>
      </w:pPr>
    </w:p>
    <w:p>
      <w:pPr>
        <w:spacing w:line="600" w:lineRule="exact"/>
        <w:ind w:right="640"/>
        <w:jc w:val="left"/>
        <w:rPr>
          <w:rFonts w:hint="eastAsia" w:ascii="??_GB2312"/>
          <w:sz w:val="30"/>
          <w:szCs w:val="30"/>
        </w:rPr>
      </w:pPr>
    </w:p>
    <w:p>
      <w:pPr>
        <w:spacing w:line="600" w:lineRule="exact"/>
        <w:ind w:right="640"/>
        <w:jc w:val="left"/>
        <w:rPr>
          <w:rFonts w:ascii="??_GB2312"/>
          <w:sz w:val="30"/>
          <w:szCs w:val="30"/>
        </w:rPr>
      </w:pPr>
      <w:r>
        <w:rPr>
          <w:rFonts w:hint="eastAsia" w:ascii="??_GB2312"/>
          <w:sz w:val="30"/>
          <w:szCs w:val="30"/>
        </w:rPr>
        <w:t>附表</w:t>
      </w:r>
      <w:r>
        <w:rPr>
          <w:rFonts w:ascii="??_GB2312"/>
          <w:sz w:val="30"/>
          <w:szCs w:val="30"/>
        </w:rPr>
        <w:t>5</w:t>
      </w:r>
      <w:r>
        <w:rPr>
          <w:rFonts w:hint="eastAsia" w:ascii="??_GB2312"/>
          <w:sz w:val="30"/>
          <w:szCs w:val="30"/>
        </w:rPr>
        <w:t>：</w:t>
      </w:r>
    </w:p>
    <w:p>
      <w:pPr>
        <w:tabs>
          <w:tab w:val="left" w:pos="7560"/>
        </w:tabs>
        <w:spacing w:line="600" w:lineRule="exact"/>
        <w:ind w:right="-94"/>
        <w:jc w:val="center"/>
        <w:rPr>
          <w:rFonts w:ascii="方正小标宋简体" w:hAnsi="方正小标宋简体" w:eastAsia="方正小标宋简体" w:cs="方正小标宋简体"/>
          <w:sz w:val="44"/>
          <w:szCs w:val="44"/>
        </w:rPr>
      </w:pPr>
    </w:p>
    <w:p>
      <w:pPr>
        <w:tabs>
          <w:tab w:val="left" w:pos="7560"/>
        </w:tabs>
        <w:spacing w:line="600" w:lineRule="exact"/>
        <w:ind w:right="-94"/>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君山区因公租用社会车辆申报表(样表)</w:t>
      </w:r>
    </w:p>
    <w:p>
      <w:pPr>
        <w:spacing w:line="600" w:lineRule="exact"/>
        <w:jc w:val="center"/>
        <w:rPr>
          <w:rFonts w:ascii="仿宋" w:hAnsi="仿宋" w:eastAsia="仿宋" w:cs="仿宋"/>
          <w:sz w:val="30"/>
          <w:szCs w:val="30"/>
        </w:rPr>
      </w:pPr>
      <w:r>
        <w:rPr>
          <w:rFonts w:hint="eastAsia" w:ascii="仿宋" w:hAnsi="仿宋" w:eastAsia="仿宋" w:cs="仿宋"/>
          <w:sz w:val="30"/>
          <w:szCs w:val="30"/>
        </w:rPr>
        <w:t>填表日期：年月日</w:t>
      </w:r>
    </w:p>
    <w:tbl>
      <w:tblPr>
        <w:tblStyle w:val="5"/>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3420"/>
        <w:gridCol w:w="180"/>
        <w:gridCol w:w="900"/>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napToGrid w:val="0"/>
                <w:w w:val="80"/>
                <w:kern w:val="0"/>
                <w:sz w:val="28"/>
                <w:szCs w:val="28"/>
              </w:rPr>
              <w:t>申请单位(部门)</w:t>
            </w:r>
          </w:p>
        </w:tc>
        <w:tc>
          <w:tcPr>
            <w:tcW w:w="6632" w:type="dxa"/>
            <w:gridSpan w:val="4"/>
          </w:tcPr>
          <w:p>
            <w:pPr>
              <w:spacing w:line="600" w:lineRule="exact"/>
              <w:jc w:val="center"/>
              <w:rPr>
                <w:rFonts w:ascii="仿宋" w:hAnsi="仿宋" w:eastAsia="仿宋" w:cs="仿宋"/>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z w:val="28"/>
                <w:szCs w:val="28"/>
              </w:rPr>
              <w:t>用车日期</w:t>
            </w:r>
          </w:p>
        </w:tc>
        <w:tc>
          <w:tcPr>
            <w:tcW w:w="3420" w:type="dxa"/>
          </w:tcPr>
          <w:p>
            <w:pPr>
              <w:spacing w:line="600" w:lineRule="exact"/>
              <w:jc w:val="center"/>
              <w:rPr>
                <w:rFonts w:ascii="仿宋" w:hAnsi="仿宋" w:eastAsia="仿宋" w:cs="仿宋"/>
                <w:sz w:val="36"/>
                <w:szCs w:val="36"/>
              </w:rPr>
            </w:pPr>
          </w:p>
        </w:tc>
        <w:tc>
          <w:tcPr>
            <w:tcW w:w="1080" w:type="dxa"/>
            <w:gridSpan w:val="2"/>
          </w:tcPr>
          <w:p>
            <w:pPr>
              <w:spacing w:line="600" w:lineRule="exact"/>
              <w:rPr>
                <w:rFonts w:ascii="宋体" w:cs="仿宋"/>
                <w:sz w:val="28"/>
                <w:szCs w:val="28"/>
              </w:rPr>
            </w:pPr>
            <w:r>
              <w:rPr>
                <w:rFonts w:hint="eastAsia" w:ascii="宋体" w:hAnsi="宋体" w:cs="仿宋"/>
                <w:sz w:val="28"/>
                <w:szCs w:val="28"/>
              </w:rPr>
              <w:t>申请人</w:t>
            </w:r>
          </w:p>
        </w:tc>
        <w:tc>
          <w:tcPr>
            <w:tcW w:w="2132" w:type="dxa"/>
          </w:tcPr>
          <w:p>
            <w:pPr>
              <w:spacing w:line="600" w:lineRule="exact"/>
              <w:rPr>
                <w:rFonts w:ascii="宋体"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z w:val="28"/>
                <w:szCs w:val="28"/>
              </w:rPr>
              <w:t>用车事由</w:t>
            </w:r>
          </w:p>
        </w:tc>
        <w:tc>
          <w:tcPr>
            <w:tcW w:w="6632" w:type="dxa"/>
            <w:gridSpan w:val="4"/>
          </w:tcPr>
          <w:p>
            <w:pPr>
              <w:spacing w:line="600" w:lineRule="exact"/>
              <w:jc w:val="center"/>
              <w:rPr>
                <w:rFonts w:ascii="仿宋" w:hAnsi="仿宋" w:eastAsia="仿宋" w:cs="仿宋"/>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z w:val="28"/>
                <w:szCs w:val="28"/>
              </w:rPr>
              <w:t>途经地点</w:t>
            </w:r>
          </w:p>
        </w:tc>
        <w:tc>
          <w:tcPr>
            <w:tcW w:w="6632" w:type="dxa"/>
            <w:gridSpan w:val="4"/>
          </w:tcPr>
          <w:p>
            <w:pPr>
              <w:spacing w:line="600" w:lineRule="exact"/>
              <w:jc w:val="center"/>
              <w:rPr>
                <w:rFonts w:ascii="仿宋" w:hAnsi="仿宋" w:eastAsia="仿宋" w:cs="仿宋"/>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z w:val="28"/>
                <w:szCs w:val="28"/>
              </w:rPr>
              <w:t>同趟出差人员</w:t>
            </w:r>
          </w:p>
        </w:tc>
        <w:tc>
          <w:tcPr>
            <w:tcW w:w="6632" w:type="dxa"/>
            <w:gridSpan w:val="4"/>
          </w:tcPr>
          <w:p>
            <w:pPr>
              <w:spacing w:line="600" w:lineRule="exact"/>
              <w:jc w:val="center"/>
              <w:rPr>
                <w:rFonts w:ascii="仿宋" w:hAnsi="仿宋" w:eastAsia="仿宋" w:cs="仿宋"/>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z w:val="28"/>
                <w:szCs w:val="28"/>
              </w:rPr>
              <w:t>约定车辆名称</w:t>
            </w:r>
          </w:p>
        </w:tc>
        <w:tc>
          <w:tcPr>
            <w:tcW w:w="6632" w:type="dxa"/>
            <w:gridSpan w:val="4"/>
          </w:tcPr>
          <w:p>
            <w:pPr>
              <w:spacing w:line="600" w:lineRule="exact"/>
              <w:jc w:val="center"/>
              <w:rPr>
                <w:rFonts w:ascii="仿宋" w:hAnsi="仿宋" w:eastAsia="仿宋" w:cs="仿宋"/>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z w:val="28"/>
                <w:szCs w:val="28"/>
              </w:rPr>
              <w:t>车牌及手机号</w:t>
            </w:r>
          </w:p>
        </w:tc>
        <w:tc>
          <w:tcPr>
            <w:tcW w:w="6632" w:type="dxa"/>
            <w:gridSpan w:val="4"/>
          </w:tcPr>
          <w:p>
            <w:pPr>
              <w:spacing w:line="600" w:lineRule="exact"/>
              <w:jc w:val="center"/>
              <w:rPr>
                <w:rFonts w:ascii="仿宋" w:hAnsi="仿宋" w:eastAsia="仿宋" w:cs="仿宋"/>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z w:val="28"/>
                <w:szCs w:val="28"/>
              </w:rPr>
              <w:t>议定租车价格</w:t>
            </w:r>
          </w:p>
        </w:tc>
        <w:tc>
          <w:tcPr>
            <w:tcW w:w="3600" w:type="dxa"/>
            <w:gridSpan w:val="2"/>
          </w:tcPr>
          <w:p>
            <w:pPr>
              <w:spacing w:line="600" w:lineRule="exact"/>
              <w:rPr>
                <w:rFonts w:ascii="仿宋" w:hAnsi="仿宋" w:eastAsia="仿宋" w:cs="仿宋"/>
                <w:sz w:val="28"/>
                <w:szCs w:val="28"/>
              </w:rPr>
            </w:pPr>
            <w:r>
              <w:rPr>
                <w:rFonts w:hint="eastAsia" w:ascii="仿宋" w:hAnsi="仿宋" w:eastAsia="仿宋" w:cs="仿宋"/>
                <w:sz w:val="28"/>
                <w:szCs w:val="28"/>
              </w:rPr>
              <w:t>单价：元／天、趟</w:t>
            </w:r>
          </w:p>
        </w:tc>
        <w:tc>
          <w:tcPr>
            <w:tcW w:w="3032" w:type="dxa"/>
            <w:gridSpan w:val="2"/>
          </w:tcPr>
          <w:p>
            <w:pPr>
              <w:spacing w:line="600" w:lineRule="exact"/>
              <w:rPr>
                <w:rFonts w:ascii="仿宋" w:hAnsi="仿宋" w:eastAsia="仿宋" w:cs="仿宋"/>
                <w:sz w:val="28"/>
                <w:szCs w:val="28"/>
              </w:rPr>
            </w:pPr>
            <w:r>
              <w:rPr>
                <w:rFonts w:hint="eastAsia" w:ascii="仿宋" w:hAnsi="仿宋" w:eastAsia="仿宋" w:cs="仿宋"/>
                <w:sz w:val="28"/>
                <w:szCs w:val="28"/>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ind w:firstLine="112" w:firstLineChars="50"/>
              <w:rPr>
                <w:rFonts w:ascii="仿宋" w:hAnsi="仿宋" w:eastAsia="仿宋" w:cs="仿宋"/>
                <w:snapToGrid w:val="0"/>
                <w:w w:val="80"/>
                <w:kern w:val="0"/>
                <w:sz w:val="28"/>
                <w:szCs w:val="28"/>
              </w:rPr>
            </w:pPr>
            <w:r>
              <w:rPr>
                <w:rFonts w:hint="eastAsia" w:ascii="仿宋" w:hAnsi="仿宋" w:eastAsia="仿宋" w:cs="仿宋"/>
                <w:snapToGrid w:val="0"/>
                <w:w w:val="80"/>
                <w:kern w:val="0"/>
                <w:sz w:val="28"/>
                <w:szCs w:val="28"/>
              </w:rPr>
              <w:t>区公车平台意见</w:t>
            </w:r>
          </w:p>
        </w:tc>
        <w:tc>
          <w:tcPr>
            <w:tcW w:w="6632" w:type="dxa"/>
            <w:gridSpan w:val="4"/>
          </w:tcPr>
          <w:p>
            <w:pPr>
              <w:spacing w:line="600" w:lineRule="exact"/>
              <w:jc w:val="center"/>
              <w:rPr>
                <w:rFonts w:ascii="仿宋" w:hAnsi="仿宋" w:eastAsia="仿宋" w:cs="仿宋"/>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z w:val="28"/>
                <w:szCs w:val="28"/>
              </w:rPr>
              <w:t>分管领导审批</w:t>
            </w:r>
          </w:p>
        </w:tc>
        <w:tc>
          <w:tcPr>
            <w:tcW w:w="6632" w:type="dxa"/>
            <w:gridSpan w:val="4"/>
          </w:tcPr>
          <w:p>
            <w:pPr>
              <w:spacing w:line="600" w:lineRule="exact"/>
              <w:jc w:val="center"/>
              <w:rPr>
                <w:rFonts w:ascii="仿宋" w:hAnsi="仿宋" w:eastAsia="仿宋" w:cs="仿宋"/>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tcPr>
          <w:p>
            <w:pPr>
              <w:spacing w:line="600" w:lineRule="exact"/>
              <w:jc w:val="center"/>
              <w:rPr>
                <w:rFonts w:ascii="仿宋" w:hAnsi="仿宋" w:eastAsia="仿宋" w:cs="仿宋"/>
                <w:sz w:val="28"/>
                <w:szCs w:val="28"/>
              </w:rPr>
            </w:pPr>
            <w:r>
              <w:rPr>
                <w:rFonts w:hint="eastAsia" w:ascii="仿宋" w:hAnsi="仿宋" w:eastAsia="仿宋" w:cs="仿宋"/>
                <w:sz w:val="28"/>
                <w:szCs w:val="28"/>
              </w:rPr>
              <w:t>局长批示</w:t>
            </w:r>
          </w:p>
        </w:tc>
        <w:tc>
          <w:tcPr>
            <w:tcW w:w="6632" w:type="dxa"/>
            <w:gridSpan w:val="4"/>
          </w:tcPr>
          <w:p>
            <w:pPr>
              <w:spacing w:line="600" w:lineRule="exact"/>
              <w:jc w:val="center"/>
              <w:rPr>
                <w:rFonts w:ascii="仿宋" w:hAnsi="仿宋" w:eastAsia="仿宋" w:cs="仿宋"/>
                <w:sz w:val="36"/>
                <w:szCs w:val="36"/>
              </w:rPr>
            </w:pPr>
          </w:p>
        </w:tc>
      </w:tr>
    </w:tbl>
    <w:p>
      <w:pPr>
        <w:spacing w:line="600" w:lineRule="exact"/>
        <w:rPr>
          <w:rFonts w:ascii="仿宋" w:hAnsi="仿宋" w:eastAsia="仿宋" w:cs="仿宋"/>
          <w:sz w:val="36"/>
          <w:szCs w:val="36"/>
        </w:rPr>
      </w:pPr>
    </w:p>
    <w:p>
      <w:pPr>
        <w:rPr>
          <w:rFonts w:ascii="方正小标宋简体" w:hAnsi="黑体" w:eastAsia="方正小标宋简体"/>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hakuyoxingshu7000">
    <w:panose1 w:val="02000600000000000000"/>
    <w:charset w:val="86"/>
    <w:family w:val="auto"/>
    <w:pitch w:val="default"/>
    <w:sig w:usb0="FFFFFFFF" w:usb1="E9FFFFFF" w:usb2="0000003F" w:usb3="00000000" w:csb0="603F00FF" w:csb1="FFFF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060151"/>
      <w:docPartObj>
        <w:docPartGallery w:val="autotext"/>
      </w:docPartObj>
    </w:sdtPr>
    <w:sdtContent>
      <w:p>
        <w:pPr>
          <w:pStyle w:val="2"/>
          <w:jc w:val="center"/>
        </w:pPr>
        <w:r>
          <w:fldChar w:fldCharType="begin"/>
        </w:r>
        <w:r>
          <w:instrText xml:space="preserve"> PAGE   \* MERGEFORMAT </w:instrText>
        </w:r>
        <w:r>
          <w:fldChar w:fldCharType="separate"/>
        </w:r>
        <w:r>
          <w:rPr>
            <w:lang w:val="zh-CN"/>
          </w:rPr>
          <w:t>12</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7302"/>
    <w:rsid w:val="00217EB5"/>
    <w:rsid w:val="002C7302"/>
    <w:rsid w:val="003A70F5"/>
    <w:rsid w:val="003C37E4"/>
    <w:rsid w:val="004661BE"/>
    <w:rsid w:val="005A185C"/>
    <w:rsid w:val="00626027"/>
    <w:rsid w:val="00680A5C"/>
    <w:rsid w:val="0091153E"/>
    <w:rsid w:val="009D66B7"/>
    <w:rsid w:val="00C21EAA"/>
    <w:rsid w:val="00D43A4E"/>
    <w:rsid w:val="00D87CA0"/>
    <w:rsid w:val="00D95FF6"/>
    <w:rsid w:val="00DF4B82"/>
    <w:rsid w:val="04E27B84"/>
    <w:rsid w:val="082629D2"/>
    <w:rsid w:val="09D30F48"/>
    <w:rsid w:val="0E392F25"/>
    <w:rsid w:val="0FCA6D5C"/>
    <w:rsid w:val="147A2EF0"/>
    <w:rsid w:val="1B3D109A"/>
    <w:rsid w:val="1CDA7373"/>
    <w:rsid w:val="23591889"/>
    <w:rsid w:val="27AE3C07"/>
    <w:rsid w:val="2B72769E"/>
    <w:rsid w:val="2E944329"/>
    <w:rsid w:val="2EEA0A9E"/>
    <w:rsid w:val="30A229F6"/>
    <w:rsid w:val="34816926"/>
    <w:rsid w:val="35CC2ADE"/>
    <w:rsid w:val="3F0D0FF2"/>
    <w:rsid w:val="410C7B65"/>
    <w:rsid w:val="48C3783A"/>
    <w:rsid w:val="4BAD0BC1"/>
    <w:rsid w:val="4C9E0E2A"/>
    <w:rsid w:val="4CFF2F3D"/>
    <w:rsid w:val="51A00F41"/>
    <w:rsid w:val="553E65D7"/>
    <w:rsid w:val="59BC03FB"/>
    <w:rsid w:val="67A64599"/>
    <w:rsid w:val="6B840EED"/>
    <w:rsid w:val="6BFE2B59"/>
    <w:rsid w:val="70F53E0A"/>
    <w:rsid w:val="74EA248C"/>
    <w:rsid w:val="79A51185"/>
    <w:rsid w:val="7B35738A"/>
    <w:rsid w:val="7CDC4D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7">
    <w:name w:val="列出段落1"/>
    <w:basedOn w:val="1"/>
    <w:qFormat/>
    <w:uiPriority w:val="99"/>
    <w:pPr>
      <w:ind w:firstLine="420" w:firstLineChars="200"/>
    </w:pPr>
  </w:style>
  <w:style w:type="character" w:customStyle="1" w:styleId="8">
    <w:name w:val="页脚 Char"/>
    <w:basedOn w:val="4"/>
    <w:link w:val="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C17684-C720-4F86-97CE-AE8EFF03997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1171</Words>
  <Characters>6675</Characters>
  <Lines>55</Lines>
  <Paragraphs>15</Paragraphs>
  <TotalTime>0</TotalTime>
  <ScaleCrop>false</ScaleCrop>
  <LinksUpToDate>false</LinksUpToDate>
  <CharactersWithSpaces>7831</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2012-08-15T18:31:00Z</dcterms:created>
  <dc:creator>Administrator</dc:creator>
  <cp:lastModifiedBy>admin</cp:lastModifiedBy>
  <cp:lastPrinted>2018-11-27T23:56:00Z</cp:lastPrinted>
  <dcterms:modified xsi:type="dcterms:W3CDTF">2018-11-30T07:34:10Z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